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9DD" w:rsidRDefault="00E939DD" w:rsidP="00E939DD">
      <w:pPr>
        <w:spacing w:after="0" w:line="240" w:lineRule="auto"/>
        <w:jc w:val="left"/>
        <w:rPr>
          <w:rFonts w:eastAsia="Times New Roman"/>
          <w:szCs w:val="24"/>
        </w:rPr>
      </w:pPr>
      <w:bookmarkStart w:id="0" w:name="_GoBack"/>
      <w:r w:rsidRPr="00E939DD">
        <w:rPr>
          <w:rFonts w:eastAsia="Times New Roman"/>
          <w:szCs w:val="24"/>
        </w:rPr>
        <w:t xml:space="preserve">The New </w:t>
      </w:r>
      <w:proofErr w:type="spellStart"/>
      <w:r w:rsidRPr="00E939DD">
        <w:rPr>
          <w:rFonts w:eastAsia="Times New Roman"/>
          <w:szCs w:val="24"/>
        </w:rPr>
        <w:t>Twombly</w:t>
      </w:r>
      <w:proofErr w:type="spellEnd"/>
      <w:r w:rsidRPr="00E939DD">
        <w:rPr>
          <w:rFonts w:eastAsia="Times New Roman"/>
          <w:szCs w:val="24"/>
        </w:rPr>
        <w:t>/</w:t>
      </w:r>
      <w:proofErr w:type="spellStart"/>
      <w:r w:rsidRPr="00E939DD">
        <w:rPr>
          <w:rFonts w:eastAsia="Times New Roman"/>
          <w:szCs w:val="24"/>
        </w:rPr>
        <w:t>Iqbal</w:t>
      </w:r>
      <w:proofErr w:type="spellEnd"/>
      <w:r w:rsidRPr="00E939DD">
        <w:rPr>
          <w:rFonts w:eastAsia="Times New Roman"/>
          <w:szCs w:val="24"/>
        </w:rPr>
        <w:t xml:space="preserve"> Pleading Standard </w:t>
      </w:r>
    </w:p>
    <w:bookmarkEnd w:id="0"/>
    <w:p w:rsidR="00E939DD" w:rsidRPr="00E939DD" w:rsidRDefault="00E939DD" w:rsidP="00E939DD">
      <w:pPr>
        <w:spacing w:after="0" w:line="240" w:lineRule="auto"/>
        <w:jc w:val="left"/>
        <w:rPr>
          <w:rFonts w:eastAsia="Times New Roman"/>
          <w:szCs w:val="24"/>
        </w:rPr>
      </w:pPr>
      <w:r w:rsidRPr="00E939DD">
        <w:rPr>
          <w:rFonts w:eastAsia="Times New Roman"/>
          <w:szCs w:val="24"/>
        </w:rPr>
        <w:t>Extends Its Reach</w:t>
      </w:r>
      <w:r w:rsidRPr="00E939DD">
        <w:rPr>
          <w:rFonts w:eastAsia="Times New Roman"/>
          <w:szCs w:val="24"/>
        </w:rPr>
        <w:br/>
        <w:t xml:space="preserve">Max </w:t>
      </w:r>
      <w:proofErr w:type="spellStart"/>
      <w:r w:rsidRPr="00E939DD">
        <w:rPr>
          <w:rFonts w:eastAsia="Times New Roman"/>
          <w:szCs w:val="24"/>
        </w:rPr>
        <w:t>Heerman</w:t>
      </w:r>
      <w:proofErr w:type="spellEnd"/>
      <w:r w:rsidRPr="00E939DD">
        <w:rPr>
          <w:rFonts w:eastAsia="Times New Roman"/>
          <w:szCs w:val="24"/>
        </w:rPr>
        <w:t xml:space="preserve"> and </w:t>
      </w:r>
      <w:proofErr w:type="spellStart"/>
      <w:r w:rsidRPr="00E939DD">
        <w:rPr>
          <w:rFonts w:eastAsia="Times New Roman"/>
          <w:szCs w:val="24"/>
        </w:rPr>
        <w:t>Maren</w:t>
      </w:r>
      <w:proofErr w:type="spellEnd"/>
      <w:r w:rsidRPr="00E939DD">
        <w:rPr>
          <w:rFonts w:eastAsia="Times New Roman"/>
          <w:szCs w:val="24"/>
        </w:rPr>
        <w:t xml:space="preserve"> Grier</w:t>
      </w:r>
      <w:r w:rsidRPr="00E939DD">
        <w:rPr>
          <w:rFonts w:eastAsia="Times New Roman"/>
          <w:szCs w:val="24"/>
        </w:rPr>
        <w:br/>
        <w:t>February 28, 2011</w:t>
      </w:r>
    </w:p>
    <w:tbl>
      <w:tblPr>
        <w:tblpPr w:leftFromText="30" w:rightFromText="30" w:vertAnchor="text" w:tblpXSpec="right" w:tblpYSpec="center"/>
        <w:tblW w:w="1750" w:type="dxa"/>
        <w:tblCellSpacing w:w="0" w:type="dxa"/>
        <w:tblCellMar>
          <w:top w:w="70" w:type="dxa"/>
          <w:left w:w="70" w:type="dxa"/>
          <w:bottom w:w="70" w:type="dxa"/>
          <w:right w:w="70" w:type="dxa"/>
        </w:tblCellMar>
        <w:tblLook w:val="04A0" w:firstRow="1" w:lastRow="0" w:firstColumn="1" w:lastColumn="0" w:noHBand="0" w:noVBand="1"/>
      </w:tblPr>
      <w:tblGrid>
        <w:gridCol w:w="2830"/>
      </w:tblGrid>
      <w:tr w:rsidR="00E939DD" w:rsidRPr="00E939DD" w:rsidTr="00E939DD">
        <w:trPr>
          <w:tblCellSpacing w:w="0" w:type="dxa"/>
        </w:trPr>
        <w:tc>
          <w:tcPr>
            <w:tcW w:w="5000" w:type="pct"/>
            <w:vAlign w:val="center"/>
            <w:hideMark/>
          </w:tcPr>
          <w:tbl>
            <w:tblPr>
              <w:tblW w:w="1750" w:type="dxa"/>
              <w:tblCellSpacing w:w="5" w:type="dxa"/>
              <w:shd w:val="clear" w:color="auto" w:fill="808080"/>
              <w:tblCellMar>
                <w:left w:w="0" w:type="dxa"/>
                <w:right w:w="0" w:type="dxa"/>
              </w:tblCellMar>
              <w:tblLook w:val="04A0" w:firstRow="1" w:lastRow="0" w:firstColumn="1" w:lastColumn="0" w:noHBand="0" w:noVBand="1"/>
            </w:tblPr>
            <w:tblGrid>
              <w:gridCol w:w="2690"/>
            </w:tblGrid>
            <w:tr w:rsidR="00E939DD" w:rsidRPr="00E939DD">
              <w:trPr>
                <w:tblCellSpacing w:w="5" w:type="dxa"/>
              </w:trPr>
              <w:tc>
                <w:tcPr>
                  <w:tcW w:w="0" w:type="auto"/>
                  <w:shd w:val="clear" w:color="auto" w:fill="808080"/>
                  <w:vAlign w:val="center"/>
                  <w:hideMark/>
                </w:tcPr>
                <w:tbl>
                  <w:tblPr>
                    <w:tblW w:w="5000" w:type="pct"/>
                    <w:tblCellSpacing w:w="0" w:type="dxa"/>
                    <w:shd w:val="clear" w:color="auto" w:fill="F5F5F5"/>
                    <w:tblCellMar>
                      <w:top w:w="150" w:type="dxa"/>
                      <w:left w:w="150" w:type="dxa"/>
                      <w:bottom w:w="150" w:type="dxa"/>
                      <w:right w:w="150" w:type="dxa"/>
                    </w:tblCellMar>
                    <w:tblLook w:val="04A0" w:firstRow="1" w:lastRow="0" w:firstColumn="1" w:lastColumn="0" w:noHBand="0" w:noVBand="1"/>
                  </w:tblPr>
                  <w:tblGrid>
                    <w:gridCol w:w="2670"/>
                  </w:tblGrid>
                  <w:tr w:rsidR="00E939DD" w:rsidRPr="00E939DD">
                    <w:trPr>
                      <w:tblCellSpacing w:w="0" w:type="dxa"/>
                    </w:trPr>
                    <w:tc>
                      <w:tcPr>
                        <w:tcW w:w="5000" w:type="pct"/>
                        <w:shd w:val="clear" w:color="auto" w:fill="F5F5F5"/>
                        <w:vAlign w:val="center"/>
                        <w:hideMark/>
                      </w:tcPr>
                      <w:p w:rsidR="00E939DD" w:rsidRPr="00E939DD" w:rsidRDefault="00E939DD" w:rsidP="00E939DD">
                        <w:pPr>
                          <w:framePr w:hSpace="30" w:wrap="around" w:vAnchor="text" w:hAnchor="text" w:xAlign="right" w:yAlign="center"/>
                          <w:spacing w:after="0" w:line="240" w:lineRule="auto"/>
                          <w:jc w:val="left"/>
                          <w:rPr>
                            <w:rFonts w:eastAsia="Times New Roman"/>
                            <w:szCs w:val="24"/>
                          </w:rPr>
                        </w:pPr>
                        <w:r>
                          <w:rPr>
                            <w:rFonts w:eastAsia="Times New Roman"/>
                            <w:noProof/>
                            <w:color w:val="0000FF"/>
                            <w:szCs w:val="24"/>
                          </w:rPr>
                          <w:drawing>
                            <wp:inline distT="0" distB="0" distL="0" distR="0">
                              <wp:extent cx="1333500" cy="1666875"/>
                              <wp:effectExtent l="0" t="0" r="0" b="9525"/>
                              <wp:docPr id="3" name="Picture 3" descr="http://hennepin.timberlakepublishing.com/photos/1507_228152512b.jpg">
                                <a:hlinkClick xmlns:a="http://schemas.openxmlformats.org/drawingml/2006/main" r:id="rId6" tgtFrame="&quot;1507_228152512.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ennepin.timberlakepublishing.com/photos/1507_228152512b.jpg">
                                        <a:hlinkClick r:id="rId6" tgtFrame="&quot;1507_228152512.jpg&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1666875"/>
                                      </a:xfrm>
                                      <a:prstGeom prst="rect">
                                        <a:avLst/>
                                      </a:prstGeom>
                                      <a:noFill/>
                                      <a:ln>
                                        <a:noFill/>
                                      </a:ln>
                                    </pic:spPr>
                                  </pic:pic>
                                </a:graphicData>
                              </a:graphic>
                            </wp:inline>
                          </w:drawing>
                        </w:r>
                        <w:r w:rsidRPr="00E939DD">
                          <w:rPr>
                            <w:rFonts w:eastAsia="Times New Roman"/>
                            <w:szCs w:val="24"/>
                          </w:rPr>
                          <w:br/>
                        </w:r>
                        <w:r w:rsidRPr="00E939DD">
                          <w:rPr>
                            <w:rFonts w:eastAsia="Times New Roman"/>
                            <w:szCs w:val="24"/>
                          </w:rPr>
                          <w:br/>
                          <w:t xml:space="preserve">Mr. </w:t>
                        </w:r>
                        <w:proofErr w:type="spellStart"/>
                        <w:r w:rsidRPr="00E939DD">
                          <w:rPr>
                            <w:rFonts w:eastAsia="Times New Roman"/>
                            <w:szCs w:val="24"/>
                          </w:rPr>
                          <w:t>Heerman</w:t>
                        </w:r>
                        <w:proofErr w:type="spellEnd"/>
                        <w:r w:rsidRPr="00E939DD">
                          <w:rPr>
                            <w:rFonts w:eastAsia="Times New Roman"/>
                            <w:szCs w:val="24"/>
                          </w:rPr>
                          <w:t xml:space="preserve"> is a shareholder with Briggs and Morgan and a member of the business litigation section. He concentrates his practice on financial fraud cases, partnership disputes, and employment-related class actions. </w:t>
                        </w:r>
                        <w:r w:rsidRPr="00E939DD">
                          <w:rPr>
                            <w:rFonts w:eastAsia="Times New Roman"/>
                            <w:szCs w:val="24"/>
                          </w:rPr>
                          <w:br/>
                        </w:r>
                        <w:r>
                          <w:rPr>
                            <w:rFonts w:eastAsia="Times New Roman"/>
                            <w:noProof/>
                            <w:color w:val="0000FF"/>
                            <w:szCs w:val="24"/>
                          </w:rPr>
                          <w:drawing>
                            <wp:inline distT="0" distB="0" distL="0" distR="0">
                              <wp:extent cx="1333500" cy="1666875"/>
                              <wp:effectExtent l="0" t="0" r="0" b="9525"/>
                              <wp:docPr id="2" name="Picture 2" descr="http://hennepin.timberlakepublishing.com/photos/1507_228152611b.jpg">
                                <a:hlinkClick xmlns:a="http://schemas.openxmlformats.org/drawingml/2006/main" r:id="rId8" tgtFrame="&quot;1507_228152611.jp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ennepin.timberlakepublishing.com/photos/1507_228152611b.jpg">
                                        <a:hlinkClick r:id="rId8" tgtFrame="&quot;1507_228152611.jpg&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33500" cy="1666875"/>
                                      </a:xfrm>
                                      <a:prstGeom prst="rect">
                                        <a:avLst/>
                                      </a:prstGeom>
                                      <a:noFill/>
                                      <a:ln>
                                        <a:noFill/>
                                      </a:ln>
                                    </pic:spPr>
                                  </pic:pic>
                                </a:graphicData>
                              </a:graphic>
                            </wp:inline>
                          </w:drawing>
                        </w:r>
                        <w:r w:rsidRPr="00E939DD">
                          <w:rPr>
                            <w:rFonts w:eastAsia="Times New Roman"/>
                            <w:szCs w:val="24"/>
                          </w:rPr>
                          <w:br/>
                        </w:r>
                        <w:r w:rsidRPr="00E939DD">
                          <w:rPr>
                            <w:rFonts w:eastAsia="Times New Roman"/>
                            <w:szCs w:val="24"/>
                          </w:rPr>
                          <w:br/>
                          <w:t xml:space="preserve">Ms. Grier is an associate with Briggs and Morgan and a member of the business litigation section. She represents </w:t>
                        </w:r>
                        <w:proofErr w:type="gramStart"/>
                        <w:r w:rsidRPr="00E939DD">
                          <w:rPr>
                            <w:rFonts w:eastAsia="Times New Roman"/>
                            <w:szCs w:val="24"/>
                          </w:rPr>
                          <w:t>clients</w:t>
                        </w:r>
                        <w:proofErr w:type="gramEnd"/>
                        <w:r w:rsidRPr="00E939DD">
                          <w:rPr>
                            <w:rFonts w:eastAsia="Times New Roman"/>
                            <w:szCs w:val="24"/>
                          </w:rPr>
                          <w:t xml:space="preserve"> in general commercial litigation matters. </w:t>
                        </w:r>
                      </w:p>
                      <w:p w:rsidR="00E939DD" w:rsidRPr="00E939DD" w:rsidRDefault="00E939DD" w:rsidP="00E939DD">
                        <w:pPr>
                          <w:framePr w:hSpace="30" w:wrap="around" w:vAnchor="text" w:hAnchor="text" w:xAlign="right" w:yAlign="center"/>
                          <w:spacing w:after="0" w:line="240" w:lineRule="auto"/>
                          <w:jc w:val="center"/>
                          <w:rPr>
                            <w:rFonts w:eastAsia="Times New Roman"/>
                            <w:szCs w:val="24"/>
                          </w:rPr>
                        </w:pPr>
                        <w:r>
                          <w:rPr>
                            <w:rFonts w:eastAsia="Times New Roman"/>
                            <w:noProof/>
                            <w:color w:val="0000FF"/>
                            <w:szCs w:val="24"/>
                          </w:rPr>
                          <w:drawing>
                            <wp:inline distT="0" distB="0" distL="0" distR="0">
                              <wp:extent cx="1504950" cy="323850"/>
                              <wp:effectExtent l="0" t="0" r="0" b="0"/>
                              <wp:docPr id="1" name="Picture 1" descr="http://hennepin.timberlakepublishing.com/images/button_printversion.gif">
                                <a:hlinkClick xmlns:a="http://schemas.openxmlformats.org/drawingml/2006/main" r:id="rId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hennepin.timberlakepublishing.com/images/button_printversion.gif">
                                        <a:hlinkClick r:id="rId10"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04950" cy="323850"/>
                                      </a:xfrm>
                                      <a:prstGeom prst="rect">
                                        <a:avLst/>
                                      </a:prstGeom>
                                      <a:noFill/>
                                      <a:ln>
                                        <a:noFill/>
                                      </a:ln>
                                    </pic:spPr>
                                  </pic:pic>
                                </a:graphicData>
                              </a:graphic>
                            </wp:inline>
                          </w:drawing>
                        </w:r>
                      </w:p>
                      <w:p w:rsidR="00E939DD" w:rsidRPr="00E939DD" w:rsidRDefault="00E939DD" w:rsidP="00E939DD">
                        <w:pPr>
                          <w:framePr w:hSpace="30" w:wrap="around" w:vAnchor="text" w:hAnchor="text" w:xAlign="right" w:yAlign="center"/>
                          <w:spacing w:after="0" w:line="240" w:lineRule="auto"/>
                          <w:jc w:val="left"/>
                          <w:rPr>
                            <w:rFonts w:eastAsia="Times New Roman"/>
                            <w:szCs w:val="24"/>
                          </w:rPr>
                        </w:pPr>
                      </w:p>
                    </w:tc>
                  </w:tr>
                </w:tbl>
                <w:p w:rsidR="00E939DD" w:rsidRPr="00E939DD" w:rsidRDefault="00E939DD" w:rsidP="00E939DD">
                  <w:pPr>
                    <w:framePr w:hSpace="30" w:wrap="around" w:vAnchor="text" w:hAnchor="text" w:xAlign="right" w:yAlign="center"/>
                    <w:spacing w:after="0" w:line="240" w:lineRule="auto"/>
                    <w:jc w:val="left"/>
                    <w:rPr>
                      <w:rFonts w:eastAsia="Times New Roman"/>
                      <w:szCs w:val="24"/>
                    </w:rPr>
                  </w:pPr>
                </w:p>
              </w:tc>
            </w:tr>
          </w:tbl>
          <w:p w:rsidR="00E939DD" w:rsidRPr="00E939DD" w:rsidRDefault="00E939DD" w:rsidP="00E939DD">
            <w:pPr>
              <w:spacing w:after="0" w:line="240" w:lineRule="auto"/>
              <w:jc w:val="left"/>
              <w:rPr>
                <w:rFonts w:eastAsia="Times New Roman"/>
                <w:szCs w:val="24"/>
              </w:rPr>
            </w:pPr>
          </w:p>
        </w:tc>
      </w:tr>
    </w:tbl>
    <w:p w:rsidR="00E939DD" w:rsidRPr="00E939DD" w:rsidRDefault="00E939DD" w:rsidP="00E939DD">
      <w:pPr>
        <w:spacing w:after="0" w:line="240" w:lineRule="auto"/>
        <w:jc w:val="left"/>
        <w:rPr>
          <w:rFonts w:eastAsia="Times New Roman"/>
          <w:szCs w:val="24"/>
        </w:rPr>
      </w:pPr>
      <w:r w:rsidRPr="00E939DD">
        <w:rPr>
          <w:rFonts w:eastAsia="Times New Roman"/>
          <w:szCs w:val="24"/>
        </w:rPr>
        <w:lastRenderedPageBreak/>
        <w:t> </w:t>
      </w:r>
    </w:p>
    <w:p w:rsidR="00E939DD" w:rsidRPr="00E939DD" w:rsidRDefault="00E939DD" w:rsidP="00E939DD">
      <w:pPr>
        <w:spacing w:before="100" w:beforeAutospacing="1" w:after="100" w:afterAutospacing="1" w:line="240" w:lineRule="auto"/>
        <w:jc w:val="left"/>
        <w:rPr>
          <w:rFonts w:eastAsia="Times New Roman"/>
          <w:szCs w:val="24"/>
        </w:rPr>
      </w:pPr>
      <w:r w:rsidRPr="00E939DD">
        <w:rPr>
          <w:rFonts w:ascii="Trebuchet MS" w:eastAsia="Times New Roman" w:hAnsi="Trebuchet MS"/>
          <w:sz w:val="20"/>
          <w:szCs w:val="20"/>
        </w:rPr>
        <w:t xml:space="preserve">Three years ago, the U.S. Supreme Court articulated a heightened pleading standard in Bell Atlantic Corporation v. </w:t>
      </w:r>
      <w:proofErr w:type="spellStart"/>
      <w:r w:rsidRPr="00E939DD">
        <w:rPr>
          <w:rFonts w:ascii="Trebuchet MS" w:eastAsia="Times New Roman" w:hAnsi="Trebuchet MS"/>
          <w:sz w:val="20"/>
          <w:szCs w:val="20"/>
        </w:rPr>
        <w:t>Twombly</w:t>
      </w:r>
      <w:proofErr w:type="spellEnd"/>
      <w:r w:rsidRPr="00E939DD">
        <w:rPr>
          <w:rFonts w:ascii="Trebuchet MS" w:eastAsia="Times New Roman" w:hAnsi="Trebuchet MS"/>
          <w:sz w:val="20"/>
          <w:szCs w:val="20"/>
        </w:rPr>
        <w:t xml:space="preserve">, 550 U.S. 544 (2007), which was subsequently reaffirmed and extended in Ashcroft v. </w:t>
      </w:r>
      <w:proofErr w:type="spellStart"/>
      <w:r w:rsidRPr="00E939DD">
        <w:rPr>
          <w:rFonts w:ascii="Trebuchet MS" w:eastAsia="Times New Roman" w:hAnsi="Trebuchet MS"/>
          <w:sz w:val="20"/>
          <w:szCs w:val="20"/>
        </w:rPr>
        <w:t>Iqbal</w:t>
      </w:r>
      <w:proofErr w:type="spellEnd"/>
      <w:r w:rsidRPr="00E939DD">
        <w:rPr>
          <w:rFonts w:ascii="Trebuchet MS" w:eastAsia="Times New Roman" w:hAnsi="Trebuchet MS"/>
          <w:sz w:val="20"/>
          <w:szCs w:val="20"/>
        </w:rPr>
        <w:t xml:space="preserve">, 129 S. Ct. 1937 (2009).  That standard goes beyond the old “notice pleading” standard and requires a plaintiff to </w:t>
      </w:r>
      <w:proofErr w:type="gramStart"/>
      <w:r w:rsidRPr="00E939DD">
        <w:rPr>
          <w:rFonts w:ascii="Trebuchet MS" w:eastAsia="Times New Roman" w:hAnsi="Trebuchet MS"/>
          <w:sz w:val="20"/>
          <w:szCs w:val="20"/>
        </w:rPr>
        <w:t>plead</w:t>
      </w:r>
      <w:proofErr w:type="gramEnd"/>
      <w:r w:rsidRPr="00E939DD">
        <w:rPr>
          <w:rFonts w:ascii="Trebuchet MS" w:eastAsia="Times New Roman" w:hAnsi="Trebuchet MS"/>
          <w:sz w:val="20"/>
          <w:szCs w:val="20"/>
        </w:rPr>
        <w:t xml:space="preserve"> “sufficient factual matter, accepted as true, to state a claim that is plausible on its face.”</w:t>
      </w:r>
      <w:r w:rsidRPr="00E939DD">
        <w:rPr>
          <w:rFonts w:ascii="Trebuchet MS" w:eastAsia="Times New Roman" w:hAnsi="Trebuchet MS"/>
          <w:sz w:val="20"/>
          <w:szCs w:val="20"/>
          <w:vertAlign w:val="superscript"/>
        </w:rPr>
        <w:t>1</w:t>
      </w:r>
      <w:r w:rsidRPr="00E939DD">
        <w:rPr>
          <w:rFonts w:ascii="Trebuchet MS" w:eastAsia="Times New Roman" w:hAnsi="Trebuchet MS"/>
          <w:sz w:val="20"/>
          <w:szCs w:val="20"/>
        </w:rPr>
        <w:t xml:space="preserve"> If a plaintiff fails to meet this standard, the court can order the complaint to </w:t>
      </w:r>
      <w:proofErr w:type="gramStart"/>
      <w:r w:rsidRPr="00E939DD">
        <w:rPr>
          <w:rFonts w:ascii="Trebuchet MS" w:eastAsia="Times New Roman" w:hAnsi="Trebuchet MS"/>
          <w:sz w:val="20"/>
          <w:szCs w:val="20"/>
        </w:rPr>
        <w:t>be amended</w:t>
      </w:r>
      <w:proofErr w:type="gramEnd"/>
      <w:r w:rsidRPr="00E939DD">
        <w:rPr>
          <w:rFonts w:ascii="Trebuchet MS" w:eastAsia="Times New Roman" w:hAnsi="Trebuchet MS"/>
          <w:sz w:val="20"/>
          <w:szCs w:val="20"/>
        </w:rPr>
        <w:t xml:space="preserve"> or the case can be dismissed.</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The Supreme Court’s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sz w:val="20"/>
          <w:szCs w:val="20"/>
        </w:rPr>
        <w:t xml:space="preserve"> and </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decisions raise a number of questions for Minnesota litigators.  One important question, which has resulted </w:t>
      </w:r>
      <w:proofErr w:type="gramStart"/>
      <w:r w:rsidRPr="00E939DD">
        <w:rPr>
          <w:rFonts w:ascii="Trebuchet MS" w:eastAsia="Times New Roman" w:hAnsi="Trebuchet MS"/>
          <w:sz w:val="20"/>
          <w:szCs w:val="20"/>
        </w:rPr>
        <w:t>in a split among judges in the U.S. District Court for the District of Minnesota,</w:t>
      </w:r>
      <w:proofErr w:type="gramEnd"/>
      <w:r w:rsidRPr="00E939DD">
        <w:rPr>
          <w:rFonts w:ascii="Trebuchet MS" w:eastAsia="Times New Roman" w:hAnsi="Trebuchet MS"/>
          <w:sz w:val="20"/>
          <w:szCs w:val="20"/>
        </w:rPr>
        <w:t xml:space="preserve"> is whether the new heightened pleading standard applies to a defendant’s affirmative defenses asserted in his answer in the same way it applies to a plaintiff’s claims asserted in his complaint.  Another, which </w:t>
      </w:r>
      <w:proofErr w:type="gramStart"/>
      <w:r w:rsidRPr="00E939DD">
        <w:rPr>
          <w:rFonts w:ascii="Trebuchet MS" w:eastAsia="Times New Roman" w:hAnsi="Trebuchet MS"/>
          <w:sz w:val="20"/>
          <w:szCs w:val="20"/>
        </w:rPr>
        <w:t>was recently answered</w:t>
      </w:r>
      <w:proofErr w:type="gramEnd"/>
      <w:r w:rsidRPr="00E939DD">
        <w:rPr>
          <w:rFonts w:ascii="Trebuchet MS" w:eastAsia="Times New Roman" w:hAnsi="Trebuchet MS"/>
          <w:sz w:val="20"/>
          <w:szCs w:val="20"/>
        </w:rPr>
        <w:t xml:space="preserve"> (implicitly) by the Minnesota Supreme Court, is whether the new standard applies in state court the same way it applies in federal court.  This article will briefly discuss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sz w:val="20"/>
          <w:szCs w:val="20"/>
        </w:rPr>
        <w:t xml:space="preserve"> and </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and then outline the answers to these questions.</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b/>
          <w:sz w:val="22"/>
        </w:rPr>
        <w:t>A Heightened Pleading Standard</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From 1957 until the Supreme Court handed down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sz w:val="20"/>
          <w:szCs w:val="20"/>
        </w:rPr>
        <w:t xml:space="preserve">, a defendant seeking to dismiss a complaint—even a thinly pled complaint—faced an uphill battle.  Under the Supreme Court’s former “notice pleading” standard, a complaint </w:t>
      </w:r>
      <w:proofErr w:type="gramStart"/>
      <w:r w:rsidRPr="00E939DD">
        <w:rPr>
          <w:rFonts w:ascii="Trebuchet MS" w:eastAsia="Times New Roman" w:hAnsi="Trebuchet MS"/>
          <w:sz w:val="20"/>
          <w:szCs w:val="20"/>
        </w:rPr>
        <w:t>would not be dismissed</w:t>
      </w:r>
      <w:proofErr w:type="gramEnd"/>
      <w:r w:rsidRPr="00E939DD">
        <w:rPr>
          <w:rFonts w:ascii="Trebuchet MS" w:eastAsia="Times New Roman" w:hAnsi="Trebuchet MS"/>
          <w:sz w:val="20"/>
          <w:szCs w:val="20"/>
        </w:rPr>
        <w:t xml:space="preserve"> under Fed. R. Civ. P. 12(b</w:t>
      </w:r>
      <w:proofErr w:type="gramStart"/>
      <w:r w:rsidRPr="00E939DD">
        <w:rPr>
          <w:rFonts w:ascii="Trebuchet MS" w:eastAsia="Times New Roman" w:hAnsi="Trebuchet MS"/>
          <w:sz w:val="20"/>
          <w:szCs w:val="20"/>
        </w:rPr>
        <w:t>)(</w:t>
      </w:r>
      <w:proofErr w:type="gramEnd"/>
      <w:r w:rsidRPr="00E939DD">
        <w:rPr>
          <w:rFonts w:ascii="Trebuchet MS" w:eastAsia="Times New Roman" w:hAnsi="Trebuchet MS"/>
          <w:sz w:val="20"/>
          <w:szCs w:val="20"/>
        </w:rPr>
        <w:t>6) “unless it appear[</w:t>
      </w:r>
      <w:proofErr w:type="spellStart"/>
      <w:r w:rsidRPr="00E939DD">
        <w:rPr>
          <w:rFonts w:ascii="Trebuchet MS" w:eastAsia="Times New Roman" w:hAnsi="Trebuchet MS"/>
          <w:sz w:val="20"/>
          <w:szCs w:val="20"/>
        </w:rPr>
        <w:t>ed</w:t>
      </w:r>
      <w:proofErr w:type="spellEnd"/>
      <w:r w:rsidRPr="00E939DD">
        <w:rPr>
          <w:rFonts w:ascii="Trebuchet MS" w:eastAsia="Times New Roman" w:hAnsi="Trebuchet MS"/>
          <w:sz w:val="20"/>
          <w:szCs w:val="20"/>
        </w:rPr>
        <w:t>] beyond doubt that the plaintiff c[</w:t>
      </w:r>
      <w:proofErr w:type="spellStart"/>
      <w:r w:rsidRPr="00E939DD">
        <w:rPr>
          <w:rFonts w:ascii="Trebuchet MS" w:eastAsia="Times New Roman" w:hAnsi="Trebuchet MS"/>
          <w:sz w:val="20"/>
          <w:szCs w:val="20"/>
        </w:rPr>
        <w:t>ould</w:t>
      </w:r>
      <w:proofErr w:type="spellEnd"/>
      <w:r w:rsidRPr="00E939DD">
        <w:rPr>
          <w:rFonts w:ascii="Trebuchet MS" w:eastAsia="Times New Roman" w:hAnsi="Trebuchet MS"/>
          <w:sz w:val="20"/>
          <w:szCs w:val="20"/>
        </w:rPr>
        <w:t>] prove no set of facts in support of his claim which would entitle him to relief.”</w:t>
      </w:r>
      <w:proofErr w:type="gramStart"/>
      <w:r w:rsidRPr="00E939DD">
        <w:rPr>
          <w:rFonts w:ascii="Trebuchet MS" w:eastAsia="Times New Roman" w:hAnsi="Trebuchet MS"/>
          <w:sz w:val="20"/>
          <w:szCs w:val="20"/>
          <w:vertAlign w:val="superscript"/>
        </w:rPr>
        <w:t>2</w:t>
      </w:r>
      <w:r w:rsidRPr="00E939DD">
        <w:rPr>
          <w:rFonts w:ascii="Trebuchet MS" w:eastAsia="Times New Roman" w:hAnsi="Trebuchet MS"/>
          <w:sz w:val="20"/>
          <w:szCs w:val="20"/>
        </w:rPr>
        <w:t xml:space="preserve">  In</w:t>
      </w:r>
      <w:proofErr w:type="gramEnd"/>
      <w:r w:rsidRPr="00E939DD">
        <w:rPr>
          <w:rFonts w:ascii="Trebuchet MS" w:eastAsia="Times New Roman" w:hAnsi="Trebuchet MS"/>
          <w:sz w:val="20"/>
          <w:szCs w:val="20"/>
        </w:rPr>
        <w:t xml:space="preserve"> the wake of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sz w:val="20"/>
          <w:szCs w:val="20"/>
        </w:rPr>
        <w:t xml:space="preserve"> and </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this oft-repeated mantra, drilled into the mind of every law student in the pre-</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era, no longer applies to 12(b)(6) motions to dismiss.</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In </w:t>
      </w:r>
      <w:r w:rsidRPr="00E939DD">
        <w:rPr>
          <w:rFonts w:ascii="Trebuchet MS" w:eastAsia="Times New Roman" w:hAnsi="Trebuchet MS"/>
          <w:i/>
          <w:iCs/>
          <w:sz w:val="20"/>
          <w:szCs w:val="20"/>
        </w:rPr>
        <w:t>Bell Atlantic Corp. v. Twombly</w:t>
      </w:r>
      <w:proofErr w:type="gramStart"/>
      <w:r w:rsidRPr="00E939DD">
        <w:rPr>
          <w:rFonts w:ascii="Trebuchet MS" w:eastAsia="Times New Roman" w:hAnsi="Trebuchet MS"/>
          <w:sz w:val="20"/>
          <w:szCs w:val="20"/>
        </w:rPr>
        <w:t>,</w:t>
      </w:r>
      <w:r w:rsidRPr="00E939DD">
        <w:rPr>
          <w:rFonts w:ascii="Trebuchet MS" w:eastAsia="Times New Roman" w:hAnsi="Trebuchet MS"/>
          <w:sz w:val="20"/>
          <w:szCs w:val="20"/>
          <w:vertAlign w:val="superscript"/>
        </w:rPr>
        <w:t>3</w:t>
      </w:r>
      <w:proofErr w:type="gramEnd"/>
      <w:r w:rsidRPr="00E939DD">
        <w:rPr>
          <w:rFonts w:ascii="Trebuchet MS" w:eastAsia="Times New Roman" w:hAnsi="Trebuchet MS"/>
          <w:sz w:val="20"/>
          <w:szCs w:val="20"/>
        </w:rPr>
        <w:t xml:space="preserve"> an antitrust conspiracy case, the Supreme Court held that simple notice pleading does not suffice: “[the </w:t>
      </w:r>
      <w:r w:rsidRPr="00E939DD">
        <w:rPr>
          <w:rFonts w:ascii="Trebuchet MS" w:eastAsia="Times New Roman" w:hAnsi="Trebuchet MS"/>
          <w:i/>
          <w:iCs/>
          <w:sz w:val="20"/>
          <w:szCs w:val="20"/>
        </w:rPr>
        <w:t>Conley</w:t>
      </w:r>
      <w:r w:rsidRPr="00E939DD">
        <w:rPr>
          <w:rFonts w:ascii="Trebuchet MS" w:eastAsia="Times New Roman" w:hAnsi="Trebuchet MS"/>
          <w:sz w:val="20"/>
          <w:szCs w:val="20"/>
        </w:rPr>
        <w:t xml:space="preserve"> observation] has earned its retirement.  The phrase is best forgotten as an incomplete, negative gloss on an accepted pleading standard….”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sz w:val="20"/>
          <w:szCs w:val="20"/>
        </w:rPr>
        <w:t xml:space="preserve"> held that, to survive a 12(b</w:t>
      </w:r>
      <w:proofErr w:type="gramStart"/>
      <w:r w:rsidRPr="00E939DD">
        <w:rPr>
          <w:rFonts w:ascii="Trebuchet MS" w:eastAsia="Times New Roman" w:hAnsi="Trebuchet MS"/>
          <w:sz w:val="20"/>
          <w:szCs w:val="20"/>
        </w:rPr>
        <w:t>)(</w:t>
      </w:r>
      <w:proofErr w:type="gramEnd"/>
      <w:r w:rsidRPr="00E939DD">
        <w:rPr>
          <w:rFonts w:ascii="Trebuchet MS" w:eastAsia="Times New Roman" w:hAnsi="Trebuchet MS"/>
          <w:sz w:val="20"/>
          <w:szCs w:val="20"/>
        </w:rPr>
        <w:t>6) motion, a complaint must show a “plausible entitlement” to relief.  This plausible entitlement standard “requires more than labels and conclusions, and a formulaic recitation of the elements of a cause of action.”  The plaintiff must provide some factual allegations in the complaint that “raise a right to relief above the speculative level.”</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In </w:t>
      </w:r>
      <w:r w:rsidRPr="00E939DD">
        <w:rPr>
          <w:rFonts w:ascii="Trebuchet MS" w:eastAsia="Times New Roman" w:hAnsi="Trebuchet MS"/>
          <w:i/>
          <w:iCs/>
          <w:sz w:val="20"/>
          <w:szCs w:val="20"/>
        </w:rPr>
        <w:t xml:space="preserve">Ashcroft v. </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i/>
          <w:iCs/>
          <w:sz w:val="20"/>
          <w:szCs w:val="20"/>
        </w:rPr>
        <w:t>,</w:t>
      </w:r>
      <w:r w:rsidRPr="00E939DD">
        <w:rPr>
          <w:rFonts w:ascii="Trebuchet MS" w:eastAsia="Times New Roman" w:hAnsi="Trebuchet MS"/>
          <w:sz w:val="20"/>
          <w:szCs w:val="20"/>
        </w:rPr>
        <w:t xml:space="preserve"> a constitutional discrimination case, the Supreme Court confirmed that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sz w:val="20"/>
          <w:szCs w:val="20"/>
        </w:rPr>
        <w:t xml:space="preserve"> “expounded the pleading standard for ‘all civil actions,’” not just antitrust conspiracy cases.  Moreover, under </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i/>
          <w:iCs/>
          <w:sz w:val="20"/>
          <w:szCs w:val="20"/>
        </w:rPr>
        <w:t>,</w:t>
      </w:r>
      <w:r w:rsidRPr="00E939DD">
        <w:rPr>
          <w:rFonts w:ascii="Trebuchet MS" w:eastAsia="Times New Roman" w:hAnsi="Trebuchet MS"/>
          <w:sz w:val="20"/>
          <w:szCs w:val="20"/>
        </w:rPr>
        <w:t xml:space="preserve"> a complaint must be plausible on its face to survive a motion to dismiss. Facial plausibility means a “reasonable inference that the defendant is liable for the misconduct alleged.”  The Court </w:t>
      </w:r>
      <w:proofErr w:type="gramStart"/>
      <w:r w:rsidRPr="00E939DD">
        <w:rPr>
          <w:rFonts w:ascii="Trebuchet MS" w:eastAsia="Times New Roman" w:hAnsi="Trebuchet MS"/>
          <w:sz w:val="20"/>
          <w:szCs w:val="20"/>
        </w:rPr>
        <w:t>noted that</w:t>
      </w:r>
      <w:proofErr w:type="gramEnd"/>
      <w:r w:rsidRPr="00E939DD">
        <w:rPr>
          <w:rFonts w:ascii="Trebuchet MS" w:eastAsia="Times New Roman" w:hAnsi="Trebuchet MS"/>
          <w:sz w:val="20"/>
          <w:szCs w:val="20"/>
        </w:rPr>
        <w:t xml:space="preserve"> “the Rule does call for sufficient factual matter, accepted as true, to ‘state a claim to relief that is plausible on its face.’”</w:t>
      </w:r>
      <w:r w:rsidRPr="00E939DD">
        <w:rPr>
          <w:rFonts w:ascii="Trebuchet MS" w:eastAsia="Times New Roman" w:hAnsi="Trebuchet MS"/>
          <w:sz w:val="20"/>
          <w:szCs w:val="20"/>
          <w:vertAlign w:val="superscript"/>
        </w:rPr>
        <w:t>4</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In determining whether a claim is facially plausible, the truthfulness of all of a plaintiff’s allegations </w:t>
      </w:r>
      <w:proofErr w:type="gramStart"/>
      <w:r w:rsidRPr="00E939DD">
        <w:rPr>
          <w:rFonts w:ascii="Trebuchet MS" w:eastAsia="Times New Roman" w:hAnsi="Trebuchet MS"/>
          <w:sz w:val="20"/>
          <w:szCs w:val="20"/>
        </w:rPr>
        <w:t>is no longer assumed</w:t>
      </w:r>
      <w:proofErr w:type="gramEnd"/>
      <w:r w:rsidRPr="00E939DD">
        <w:rPr>
          <w:rFonts w:ascii="Trebuchet MS" w:eastAsia="Times New Roman" w:hAnsi="Trebuchet MS"/>
          <w:sz w:val="20"/>
          <w:szCs w:val="20"/>
        </w:rPr>
        <w:t>.  Legal conclusions in a complaint are not entitled to a presumption of truth.  Moreover, the court should consider alternative explanations for the facts alleged, without accepting as true, “[t]</w:t>
      </w:r>
      <w:proofErr w:type="spellStart"/>
      <w:r w:rsidRPr="00E939DD">
        <w:rPr>
          <w:rFonts w:ascii="Trebuchet MS" w:eastAsia="Times New Roman" w:hAnsi="Trebuchet MS"/>
          <w:sz w:val="20"/>
          <w:szCs w:val="20"/>
        </w:rPr>
        <w:t>hreadbare</w:t>
      </w:r>
      <w:proofErr w:type="spellEnd"/>
      <w:r w:rsidRPr="00E939DD">
        <w:rPr>
          <w:rFonts w:ascii="Trebuchet MS" w:eastAsia="Times New Roman" w:hAnsi="Trebuchet MS"/>
          <w:sz w:val="20"/>
          <w:szCs w:val="20"/>
        </w:rPr>
        <w:t xml:space="preserve"> recitals of the elements of a cause of action, supported by mere </w:t>
      </w:r>
      <w:proofErr w:type="spellStart"/>
      <w:r w:rsidRPr="00E939DD">
        <w:rPr>
          <w:rFonts w:ascii="Trebuchet MS" w:eastAsia="Times New Roman" w:hAnsi="Trebuchet MS"/>
          <w:sz w:val="20"/>
          <w:szCs w:val="20"/>
        </w:rPr>
        <w:t>conclusory</w:t>
      </w:r>
      <w:proofErr w:type="spellEnd"/>
      <w:r w:rsidRPr="00E939DD">
        <w:rPr>
          <w:rFonts w:ascii="Trebuchet MS" w:eastAsia="Times New Roman" w:hAnsi="Trebuchet MS"/>
          <w:sz w:val="20"/>
          <w:szCs w:val="20"/>
        </w:rPr>
        <w:t xml:space="preserve"> statements.”  The Court emphasized that “while legal conclusions can provide the framework of a complaint, they must be supported by factual allegations.”  Bare assertions of the elements of a cause of action, without more, are not entitled to a presumption of truth.</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In determining plausible entitlement, courts must rely on their expertise and common sense. When there is an innocent explanation that is more likely than the plaintiff’s claim of unlawful conduct, the facts do not plausibly establish a claim for relief sufficient to survive a motion to dismiss.  For example, in </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the plaintiff alleged that the FBI arrested and detained thousands of Arab men while </w:t>
      </w:r>
      <w:r w:rsidRPr="00E939DD">
        <w:rPr>
          <w:rFonts w:ascii="Trebuchet MS" w:eastAsia="Times New Roman" w:hAnsi="Trebuchet MS"/>
          <w:sz w:val="20"/>
          <w:szCs w:val="20"/>
        </w:rPr>
        <w:lastRenderedPageBreak/>
        <w:t xml:space="preserve">investigating the September 11 attacks.  If taken as true, this allegation would have supported the petitioner’s claim of disparate impact discrimination.  </w:t>
      </w:r>
      <w:proofErr w:type="gramStart"/>
      <w:r w:rsidRPr="00E939DD">
        <w:rPr>
          <w:rFonts w:ascii="Trebuchet MS" w:eastAsia="Times New Roman" w:hAnsi="Trebuchet MS"/>
          <w:sz w:val="20"/>
          <w:szCs w:val="20"/>
        </w:rPr>
        <w:t>But</w:t>
      </w:r>
      <w:proofErr w:type="gramEnd"/>
      <w:r w:rsidRPr="00E939DD">
        <w:rPr>
          <w:rFonts w:ascii="Trebuchet MS" w:eastAsia="Times New Roman" w:hAnsi="Trebuchet MS"/>
          <w:sz w:val="20"/>
          <w:szCs w:val="20"/>
        </w:rPr>
        <w:t xml:space="preserve"> the High Court held that another interpretation was more plausible.  The attacks </w:t>
      </w:r>
      <w:proofErr w:type="gramStart"/>
      <w:r w:rsidRPr="00E939DD">
        <w:rPr>
          <w:rFonts w:ascii="Trebuchet MS" w:eastAsia="Times New Roman" w:hAnsi="Trebuchet MS"/>
          <w:sz w:val="20"/>
          <w:szCs w:val="20"/>
        </w:rPr>
        <w:t>were perpetrated</w:t>
      </w:r>
      <w:proofErr w:type="gramEnd"/>
      <w:r w:rsidRPr="00E939DD">
        <w:rPr>
          <w:rFonts w:ascii="Trebuchet MS" w:eastAsia="Times New Roman" w:hAnsi="Trebuchet MS"/>
          <w:sz w:val="20"/>
          <w:szCs w:val="20"/>
        </w:rPr>
        <w:t xml:space="preserve"> by Al Qaeda, which consists primarily of Arab Muslim men.  Thus, a nondiscriminatory disparate impact on this group, pursuant to a legitimate law enforcement policy, was unavoidable.  Between the “‘obvious alternative explanation’ for the arrests...and the purposeful, invidious discrimination respondent asks us to infer,” the </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court rejected the discrimination claim.</w:t>
      </w:r>
      <w:r w:rsidRPr="00E939DD">
        <w:rPr>
          <w:rFonts w:ascii="Trebuchet MS" w:eastAsia="Times New Roman" w:hAnsi="Trebuchet MS"/>
          <w:sz w:val="20"/>
          <w:szCs w:val="20"/>
          <w:vertAlign w:val="superscript"/>
        </w:rPr>
        <w:t>5</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U.S. District Court judges may disagree with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sz w:val="20"/>
          <w:szCs w:val="20"/>
        </w:rPr>
        <w:t xml:space="preserve"> and </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but it has been relatively easy to understand that there is a new, heightened pleading standard for plaintiffs in federal court.  More difficult to determine has been whether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sz w:val="20"/>
          <w:szCs w:val="20"/>
        </w:rPr>
        <w:t xml:space="preserve"> and </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should apply to </w:t>
      </w:r>
      <w:proofErr w:type="gramStart"/>
      <w:r w:rsidRPr="00E939DD">
        <w:rPr>
          <w:rFonts w:ascii="Trebuchet MS" w:eastAsia="Times New Roman" w:hAnsi="Trebuchet MS"/>
          <w:sz w:val="20"/>
          <w:szCs w:val="20"/>
        </w:rPr>
        <w:t xml:space="preserve">the pleading of affirmative defenses, and whether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sz w:val="20"/>
          <w:szCs w:val="20"/>
        </w:rPr>
        <w:t xml:space="preserve"> and </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should apply in state court actions</w:t>
      </w:r>
      <w:proofErr w:type="gramEnd"/>
      <w:r w:rsidRPr="00E939DD">
        <w:rPr>
          <w:rFonts w:ascii="Trebuchet MS" w:eastAsia="Times New Roman" w:hAnsi="Trebuchet MS"/>
          <w:sz w:val="20"/>
          <w:szCs w:val="20"/>
        </w:rPr>
        <w:t>.</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b/>
          <w:sz w:val="22"/>
        </w:rPr>
        <w:t>Does the New Standard Apply to Affirmative Defenses?</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The question of whether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r w:rsidRPr="00E939DD">
        <w:rPr>
          <w:rFonts w:ascii="Trebuchet MS" w:eastAsia="Times New Roman" w:hAnsi="Trebuchet MS"/>
          <w:i/>
          <w:iCs/>
          <w:sz w:val="20"/>
          <w:szCs w:val="20"/>
        </w:rPr>
        <w:t>Iqbal</w:t>
      </w:r>
      <w:r w:rsidRPr="00E939DD">
        <w:rPr>
          <w:rFonts w:ascii="Trebuchet MS" w:eastAsia="Times New Roman" w:hAnsi="Trebuchet MS"/>
          <w:sz w:val="20"/>
          <w:szCs w:val="20"/>
        </w:rPr>
        <w:t>’s</w:t>
      </w:r>
      <w:proofErr w:type="spellEnd"/>
      <w:r w:rsidRPr="00E939DD">
        <w:rPr>
          <w:rFonts w:ascii="Trebuchet MS" w:eastAsia="Times New Roman" w:hAnsi="Trebuchet MS"/>
          <w:sz w:val="20"/>
          <w:szCs w:val="20"/>
        </w:rPr>
        <w:t xml:space="preserve"> heightened pleading standard should apply to affirmative defenses has resulted in a split, not only among U.S. district courts generally, but also among judges within the U.S. District Court for the District of Minnesota.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In </w:t>
      </w:r>
      <w:proofErr w:type="spellStart"/>
      <w:r w:rsidRPr="00E939DD">
        <w:rPr>
          <w:rFonts w:ascii="Trebuchet MS" w:eastAsia="Times New Roman" w:hAnsi="Trebuchet MS"/>
          <w:sz w:val="20"/>
          <w:szCs w:val="20"/>
        </w:rPr>
        <w:t>Ahle</w:t>
      </w:r>
      <w:proofErr w:type="spellEnd"/>
      <w:r w:rsidRPr="00E939DD">
        <w:rPr>
          <w:rFonts w:ascii="Trebuchet MS" w:eastAsia="Times New Roman" w:hAnsi="Trebuchet MS"/>
          <w:sz w:val="20"/>
          <w:szCs w:val="20"/>
        </w:rPr>
        <w:t xml:space="preserve"> v. Veracity Research Co., F.Supp.2d, 2010 WL 3463513 (D. Minn. Aug 25, 2010), Judge Ann D. Montgomery of the U.S. District Court for the District of Minnesota held that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r w:rsidRPr="00E939DD">
        <w:rPr>
          <w:rFonts w:ascii="Trebuchet MS" w:eastAsia="Times New Roman" w:hAnsi="Trebuchet MS"/>
          <w:i/>
          <w:iCs/>
          <w:sz w:val="20"/>
          <w:szCs w:val="20"/>
        </w:rPr>
        <w:t>Iqbal</w:t>
      </w:r>
      <w:r w:rsidRPr="00E939DD">
        <w:rPr>
          <w:rFonts w:ascii="Trebuchet MS" w:eastAsia="Times New Roman" w:hAnsi="Trebuchet MS"/>
          <w:sz w:val="20"/>
          <w:szCs w:val="20"/>
        </w:rPr>
        <w:t>’s</w:t>
      </w:r>
      <w:proofErr w:type="spellEnd"/>
      <w:r w:rsidRPr="00E939DD">
        <w:rPr>
          <w:rFonts w:ascii="Trebuchet MS" w:eastAsia="Times New Roman" w:hAnsi="Trebuchet MS"/>
          <w:sz w:val="20"/>
          <w:szCs w:val="20"/>
        </w:rPr>
        <w:t xml:space="preserve"> heightened pleading standard applies not only to the allegations of a complaint but also to affirmative defenses.   </w:t>
      </w:r>
      <w:proofErr w:type="spellStart"/>
      <w:r w:rsidRPr="00E939DD">
        <w:rPr>
          <w:rFonts w:ascii="Trebuchet MS" w:eastAsia="Times New Roman" w:hAnsi="Trebuchet MS"/>
          <w:i/>
          <w:iCs/>
          <w:sz w:val="20"/>
          <w:szCs w:val="20"/>
        </w:rPr>
        <w:t>Ahle</w:t>
      </w:r>
      <w:proofErr w:type="spellEnd"/>
      <w:r w:rsidRPr="00E939DD">
        <w:rPr>
          <w:rFonts w:ascii="Trebuchet MS" w:eastAsia="Times New Roman" w:hAnsi="Trebuchet MS"/>
          <w:sz w:val="20"/>
          <w:szCs w:val="20"/>
        </w:rPr>
        <w:t xml:space="preserve"> involved a claim for violations of the Fair Labor Standards Act (FLSA).  Plaintiffs brought claims against their employer, Veracity Research Co. (Veracity), for failure to pay overtime compensation.  The primary issue was whether plaintiffs were properly classified as FLSA “exempt” employees, relieving Veracity from the obligation to pay them </w:t>
      </w:r>
      <w:proofErr w:type="gramStart"/>
      <w:r w:rsidRPr="00E939DD">
        <w:rPr>
          <w:rFonts w:ascii="Trebuchet MS" w:eastAsia="Times New Roman" w:hAnsi="Trebuchet MS"/>
          <w:sz w:val="20"/>
          <w:szCs w:val="20"/>
        </w:rPr>
        <w:t>overtime.</w:t>
      </w:r>
      <w:r w:rsidRPr="00E939DD">
        <w:rPr>
          <w:rFonts w:ascii="Trebuchet MS" w:eastAsia="Times New Roman" w:hAnsi="Trebuchet MS"/>
          <w:sz w:val="20"/>
          <w:szCs w:val="20"/>
          <w:vertAlign w:val="superscript"/>
        </w:rPr>
        <w:t>6</w:t>
      </w:r>
      <w:r w:rsidRPr="00E939DD">
        <w:rPr>
          <w:rFonts w:ascii="Trebuchet MS" w:eastAsia="Times New Roman" w:hAnsi="Trebuchet MS"/>
          <w:sz w:val="20"/>
          <w:szCs w:val="20"/>
        </w:rPr>
        <w:t xml:space="preserve">  In</w:t>
      </w:r>
      <w:proofErr w:type="gramEnd"/>
      <w:r w:rsidRPr="00E939DD">
        <w:rPr>
          <w:rFonts w:ascii="Trebuchet MS" w:eastAsia="Times New Roman" w:hAnsi="Trebuchet MS"/>
          <w:sz w:val="20"/>
          <w:szCs w:val="20"/>
        </w:rPr>
        <w:t xml:space="preserve"> arguing that the plaintiffs’ class should be decertified, Veracity asserted two additional FLSA exemptions not addressed in its summary judgment briefs.  Responding to the plaintiffs’ argument that Veracity </w:t>
      </w:r>
      <w:proofErr w:type="gramStart"/>
      <w:r w:rsidRPr="00E939DD">
        <w:rPr>
          <w:rFonts w:ascii="Trebuchet MS" w:eastAsia="Times New Roman" w:hAnsi="Trebuchet MS"/>
          <w:sz w:val="20"/>
          <w:szCs w:val="20"/>
        </w:rPr>
        <w:t>should be estopped</w:t>
      </w:r>
      <w:proofErr w:type="gramEnd"/>
      <w:r w:rsidRPr="00E939DD">
        <w:rPr>
          <w:rFonts w:ascii="Trebuchet MS" w:eastAsia="Times New Roman" w:hAnsi="Trebuchet MS"/>
          <w:sz w:val="20"/>
          <w:szCs w:val="20"/>
        </w:rPr>
        <w:t xml:space="preserve"> from relying on the new exemptions, Veracity urged that it had preserved its right to raise any FLSA exemption by pleading the following affirmative defense: “Plaintiffs and members of the alleged Class are exempt from overtime provisions of the FLSA and are therefore not entitled to overtime compensation.”  Judge Montgomery agreed with the plaintiffs, holding that Veracity could not rely on newly raised exemptions in its argument for decertification.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In so holding, Judge Montgomery adopted Veracity’s argument:  by pleading its affirmative defense too generally, Veracity had not preserved its right to claim any conceivable exemption.  To hold otherwise would be “contrary to the pleading standards announced by the Supreme Court in </w:t>
      </w:r>
      <w:r w:rsidRPr="00E939DD">
        <w:rPr>
          <w:rFonts w:ascii="Trebuchet MS" w:eastAsia="Times New Roman" w:hAnsi="Trebuchet MS"/>
          <w:i/>
          <w:iCs/>
          <w:sz w:val="20"/>
          <w:szCs w:val="20"/>
        </w:rPr>
        <w:t xml:space="preserve">Bell Atlantic Corp. v.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sz w:val="20"/>
          <w:szCs w:val="20"/>
        </w:rPr>
        <w:t xml:space="preserve"> and </w:t>
      </w:r>
      <w:r w:rsidRPr="00E939DD">
        <w:rPr>
          <w:rFonts w:ascii="Trebuchet MS" w:eastAsia="Times New Roman" w:hAnsi="Trebuchet MS"/>
          <w:i/>
          <w:iCs/>
          <w:sz w:val="20"/>
          <w:szCs w:val="20"/>
        </w:rPr>
        <w:t xml:space="preserve">Ashcroft v. </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i/>
          <w:iCs/>
          <w:sz w:val="20"/>
          <w:szCs w:val="20"/>
        </w:rPr>
        <w:t>,</w:t>
      </w:r>
      <w:r w:rsidRPr="00E939DD">
        <w:rPr>
          <w:rFonts w:ascii="Trebuchet MS" w:eastAsia="Times New Roman" w:hAnsi="Trebuchet MS"/>
          <w:sz w:val="20"/>
          <w:szCs w:val="20"/>
        </w:rPr>
        <w:t xml:space="preserve"> which deem formulaic or threadbare recitals of the elements of a claim inadequate under Rule 8[.]”</w:t>
      </w:r>
      <w:proofErr w:type="gramStart"/>
      <w:r w:rsidRPr="00E939DD">
        <w:rPr>
          <w:rFonts w:ascii="Trebuchet MS" w:eastAsia="Times New Roman" w:hAnsi="Trebuchet MS"/>
          <w:sz w:val="20"/>
          <w:szCs w:val="20"/>
          <w:vertAlign w:val="superscript"/>
        </w:rPr>
        <w:t>7</w:t>
      </w:r>
      <w:r w:rsidRPr="00E939DD">
        <w:rPr>
          <w:rFonts w:ascii="Trebuchet MS" w:eastAsia="Times New Roman" w:hAnsi="Trebuchet MS"/>
          <w:sz w:val="20"/>
          <w:szCs w:val="20"/>
        </w:rPr>
        <w:t xml:space="preserve">  Judge</w:t>
      </w:r>
      <w:proofErr w:type="gramEnd"/>
      <w:r w:rsidRPr="00E939DD">
        <w:rPr>
          <w:rFonts w:ascii="Trebuchet MS" w:eastAsia="Times New Roman" w:hAnsi="Trebuchet MS"/>
          <w:sz w:val="20"/>
          <w:szCs w:val="20"/>
        </w:rPr>
        <w:t xml:space="preserve"> Montgomery recognized that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sz w:val="20"/>
          <w:szCs w:val="20"/>
        </w:rPr>
        <w:t xml:space="preserve"> and </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are directed toward the pleading standards of a claim, and the Supreme Court did not expressly rule that those standards also apply to issues on which the defendant will bear the burden of proof, including affirmative defenses.”  Nevertheless, Judge Montgomery held, “the arguments in favor of extending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sz w:val="20"/>
          <w:szCs w:val="20"/>
        </w:rPr>
        <w:t xml:space="preserve"> and </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to affirmative defenses are compelling.”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Holding that the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standard shall apply to the pleading of affirmative defenses, Judge Montgomery noted that vaguely pled affirmative defenses do not give “fair notice to the opposing party.”  Additionally, they “</w:t>
      </w:r>
      <w:proofErr w:type="spellStart"/>
      <w:r w:rsidRPr="00E939DD">
        <w:rPr>
          <w:rFonts w:ascii="Trebuchet MS" w:eastAsia="Times New Roman" w:hAnsi="Trebuchet MS"/>
          <w:sz w:val="20"/>
          <w:szCs w:val="20"/>
        </w:rPr>
        <w:t>increas</w:t>
      </w:r>
      <w:proofErr w:type="spellEnd"/>
      <w:r w:rsidRPr="00E939DD">
        <w:rPr>
          <w:rFonts w:ascii="Trebuchet MS" w:eastAsia="Times New Roman" w:hAnsi="Trebuchet MS"/>
          <w:sz w:val="20"/>
          <w:szCs w:val="20"/>
        </w:rPr>
        <w:t>[e] litigation costs,” “clutter [the] docket,” “create unnecessary work,” “in an abundance of caution require significant unnecessary discovery,” and lead to “unnecessary motions for summary judgment and extend[</w:t>
      </w:r>
      <w:proofErr w:type="spellStart"/>
      <w:proofErr w:type="gramStart"/>
      <w:r w:rsidRPr="00E939DD">
        <w:rPr>
          <w:rFonts w:ascii="Trebuchet MS" w:eastAsia="Times New Roman" w:hAnsi="Trebuchet MS"/>
          <w:sz w:val="20"/>
          <w:szCs w:val="20"/>
        </w:rPr>
        <w:t>ed</w:t>
      </w:r>
      <w:proofErr w:type="spellEnd"/>
      <w:proofErr w:type="gramEnd"/>
      <w:r w:rsidRPr="00E939DD">
        <w:rPr>
          <w:rFonts w:ascii="Trebuchet MS" w:eastAsia="Times New Roman" w:hAnsi="Trebuchet MS"/>
          <w:sz w:val="20"/>
          <w:szCs w:val="20"/>
        </w:rPr>
        <w:t xml:space="preserve">] pretrial conferences in order to narrow the issues.”  According to the </w:t>
      </w:r>
      <w:proofErr w:type="spellStart"/>
      <w:r w:rsidRPr="00E939DD">
        <w:rPr>
          <w:rFonts w:ascii="Trebuchet MS" w:eastAsia="Times New Roman" w:hAnsi="Trebuchet MS"/>
          <w:i/>
          <w:iCs/>
          <w:sz w:val="20"/>
          <w:szCs w:val="20"/>
        </w:rPr>
        <w:t>Ahle</w:t>
      </w:r>
      <w:proofErr w:type="spellEnd"/>
      <w:r w:rsidRPr="00E939DD">
        <w:rPr>
          <w:rFonts w:ascii="Trebuchet MS" w:eastAsia="Times New Roman" w:hAnsi="Trebuchet MS"/>
          <w:sz w:val="20"/>
          <w:szCs w:val="20"/>
        </w:rPr>
        <w:t xml:space="preserve"> decision, to help remedy these problems associated with pleading boilerplate affirmative defenses, the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standard </w:t>
      </w:r>
      <w:proofErr w:type="gramStart"/>
      <w:r w:rsidRPr="00E939DD">
        <w:rPr>
          <w:rFonts w:ascii="Trebuchet MS" w:eastAsia="Times New Roman" w:hAnsi="Trebuchet MS"/>
          <w:sz w:val="20"/>
          <w:szCs w:val="20"/>
        </w:rPr>
        <w:t>should be extended</w:t>
      </w:r>
      <w:proofErr w:type="gramEnd"/>
      <w:r w:rsidRPr="00E939DD">
        <w:rPr>
          <w:rFonts w:ascii="Trebuchet MS" w:eastAsia="Times New Roman" w:hAnsi="Trebuchet MS"/>
          <w:sz w:val="20"/>
          <w:szCs w:val="20"/>
        </w:rPr>
        <w:t>.</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proofErr w:type="spellStart"/>
      <w:r w:rsidRPr="00E939DD">
        <w:rPr>
          <w:rFonts w:ascii="Trebuchet MS" w:eastAsia="Times New Roman" w:hAnsi="Trebuchet MS"/>
          <w:i/>
          <w:iCs/>
          <w:sz w:val="20"/>
          <w:szCs w:val="20"/>
        </w:rPr>
        <w:t>Ahle</w:t>
      </w:r>
      <w:proofErr w:type="spellEnd"/>
      <w:r w:rsidRPr="00E939DD">
        <w:rPr>
          <w:rFonts w:ascii="Trebuchet MS" w:eastAsia="Times New Roman" w:hAnsi="Trebuchet MS"/>
          <w:sz w:val="20"/>
          <w:szCs w:val="20"/>
        </w:rPr>
        <w:t xml:space="preserve"> was not the first statement from the U.S. District Court for the District of Minnesota on this issue.  In </w:t>
      </w:r>
      <w:r w:rsidRPr="00E939DD">
        <w:rPr>
          <w:rFonts w:ascii="Trebuchet MS" w:eastAsia="Times New Roman" w:hAnsi="Trebuchet MS"/>
          <w:i/>
          <w:iCs/>
          <w:sz w:val="20"/>
          <w:szCs w:val="20"/>
        </w:rPr>
        <w:t>Equal Employment Opportunity Commission v. Hibbing Taconite Co.</w:t>
      </w:r>
      <w:proofErr w:type="gramStart"/>
      <w:r w:rsidRPr="00E939DD">
        <w:rPr>
          <w:rFonts w:ascii="Trebuchet MS" w:eastAsia="Times New Roman" w:hAnsi="Trebuchet MS"/>
          <w:i/>
          <w:iCs/>
          <w:sz w:val="20"/>
          <w:szCs w:val="20"/>
        </w:rPr>
        <w:t>,</w:t>
      </w:r>
      <w:r w:rsidRPr="00E939DD">
        <w:rPr>
          <w:rFonts w:ascii="Trebuchet MS" w:eastAsia="Times New Roman" w:hAnsi="Trebuchet MS"/>
          <w:i/>
          <w:iCs/>
          <w:sz w:val="20"/>
          <w:szCs w:val="20"/>
          <w:vertAlign w:val="superscript"/>
        </w:rPr>
        <w:t>8</w:t>
      </w:r>
      <w:proofErr w:type="gramEnd"/>
      <w:r w:rsidRPr="00E939DD">
        <w:rPr>
          <w:rFonts w:ascii="Trebuchet MS" w:eastAsia="Times New Roman" w:hAnsi="Trebuchet MS"/>
          <w:sz w:val="20"/>
          <w:szCs w:val="20"/>
        </w:rPr>
        <w:t xml:space="preserve"> a decision by Chief U.S. Magistrate Judge Raymond Erickson, the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standard was also applied to affirmative </w:t>
      </w:r>
      <w:r w:rsidRPr="00E939DD">
        <w:rPr>
          <w:rFonts w:ascii="Trebuchet MS" w:eastAsia="Times New Roman" w:hAnsi="Trebuchet MS"/>
          <w:sz w:val="20"/>
          <w:szCs w:val="20"/>
        </w:rPr>
        <w:lastRenderedPageBreak/>
        <w:t xml:space="preserve">defenses.  Chief Magistrate Judge Erickson cited a Fifth Circuit </w:t>
      </w:r>
      <w:proofErr w:type="gramStart"/>
      <w:r w:rsidRPr="00E939DD">
        <w:rPr>
          <w:rFonts w:ascii="Trebuchet MS" w:eastAsia="Times New Roman" w:hAnsi="Trebuchet MS"/>
          <w:sz w:val="20"/>
          <w:szCs w:val="20"/>
        </w:rPr>
        <w:t>opinion which</w:t>
      </w:r>
      <w:proofErr w:type="gramEnd"/>
      <w:r w:rsidRPr="00E939DD">
        <w:rPr>
          <w:rFonts w:ascii="Trebuchet MS" w:eastAsia="Times New Roman" w:hAnsi="Trebuchet MS"/>
          <w:sz w:val="20"/>
          <w:szCs w:val="20"/>
        </w:rPr>
        <w:t xml:space="preserve"> held “that affirmative defenses are subject to the same pleading requirements as a Complaint, so as to afford fair notice to the plaintiff.”</w:t>
      </w:r>
      <w:proofErr w:type="gramStart"/>
      <w:r w:rsidRPr="00E939DD">
        <w:rPr>
          <w:rFonts w:ascii="Trebuchet MS" w:eastAsia="Times New Roman" w:hAnsi="Trebuchet MS"/>
          <w:sz w:val="20"/>
          <w:szCs w:val="20"/>
          <w:vertAlign w:val="superscript"/>
        </w:rPr>
        <w:t>9</w:t>
      </w:r>
      <w:r w:rsidRPr="00E939DD">
        <w:rPr>
          <w:rFonts w:ascii="Trebuchet MS" w:eastAsia="Times New Roman" w:hAnsi="Trebuchet MS"/>
          <w:sz w:val="20"/>
          <w:szCs w:val="20"/>
        </w:rPr>
        <w:t xml:space="preserve">  While</w:t>
      </w:r>
      <w:proofErr w:type="gramEnd"/>
      <w:r w:rsidRPr="00E939DD">
        <w:rPr>
          <w:rFonts w:ascii="Trebuchet MS" w:eastAsia="Times New Roman" w:hAnsi="Trebuchet MS"/>
          <w:sz w:val="20"/>
          <w:szCs w:val="20"/>
        </w:rPr>
        <w:t xml:space="preserve"> </w:t>
      </w:r>
      <w:proofErr w:type="spellStart"/>
      <w:r w:rsidRPr="00E939DD">
        <w:rPr>
          <w:rFonts w:ascii="Trebuchet MS" w:eastAsia="Times New Roman" w:hAnsi="Trebuchet MS"/>
          <w:i/>
          <w:iCs/>
          <w:sz w:val="20"/>
          <w:szCs w:val="20"/>
        </w:rPr>
        <w:t>Woodfield</w:t>
      </w:r>
      <w:proofErr w:type="spellEnd"/>
      <w:r w:rsidRPr="00E939DD">
        <w:rPr>
          <w:rFonts w:ascii="Trebuchet MS" w:eastAsia="Times New Roman" w:hAnsi="Trebuchet MS"/>
          <w:sz w:val="20"/>
          <w:szCs w:val="20"/>
        </w:rPr>
        <w:t xml:space="preserve"> was decided before the Supreme Court’s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sz w:val="20"/>
          <w:szCs w:val="20"/>
        </w:rPr>
        <w:t xml:space="preserve"> decision, Chief Magistrate Judge Erickson found its reasoning, as well as the reasoning in recent district court cases applying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i/>
          <w:iCs/>
          <w:sz w:val="20"/>
          <w:szCs w:val="20"/>
        </w:rPr>
        <w:t xml:space="preserve"> </w:t>
      </w:r>
      <w:r w:rsidRPr="00E939DD">
        <w:rPr>
          <w:rFonts w:ascii="Trebuchet MS" w:eastAsia="Times New Roman" w:hAnsi="Trebuchet MS"/>
          <w:sz w:val="20"/>
          <w:szCs w:val="20"/>
        </w:rPr>
        <w:t>to affirmative defense pleading, to be persuasive.  In determining whether</w:t>
      </w:r>
      <w:r w:rsidRPr="00E939DD">
        <w:rPr>
          <w:rFonts w:ascii="Trebuchet MS" w:eastAsia="Times New Roman" w:hAnsi="Trebuchet MS"/>
          <w:i/>
          <w:iCs/>
          <w:sz w:val="20"/>
          <w:szCs w:val="20"/>
        </w:rPr>
        <w:t xml:space="preserve"> Hibbing Taconite</w:t>
      </w:r>
      <w:r w:rsidRPr="00E939DD">
        <w:rPr>
          <w:rFonts w:ascii="Trebuchet MS" w:eastAsia="Times New Roman" w:hAnsi="Trebuchet MS"/>
          <w:sz w:val="20"/>
          <w:szCs w:val="20"/>
        </w:rPr>
        <w:t xml:space="preserve"> had pled sufficient facts in support of its affirmative defenses “to meet the minimum pleading standards,” Chief Magistrate Judge Erickson kept “the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sz w:val="20"/>
          <w:szCs w:val="20"/>
        </w:rPr>
        <w:t xml:space="preserve"> pleading standards in mind[.]”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proofErr w:type="spellStart"/>
      <w:proofErr w:type="gramStart"/>
      <w:r w:rsidRPr="00E939DD">
        <w:rPr>
          <w:rFonts w:ascii="Trebuchet MS" w:eastAsia="Times New Roman" w:hAnsi="Trebuchet MS"/>
          <w:i/>
          <w:iCs/>
          <w:sz w:val="20"/>
          <w:szCs w:val="20"/>
        </w:rPr>
        <w:t>Ahle</w:t>
      </w:r>
      <w:proofErr w:type="spellEnd"/>
      <w:r w:rsidRPr="00E939DD">
        <w:rPr>
          <w:rFonts w:ascii="Trebuchet MS" w:eastAsia="Times New Roman" w:hAnsi="Trebuchet MS"/>
          <w:sz w:val="20"/>
          <w:szCs w:val="20"/>
        </w:rPr>
        <w:t xml:space="preserve"> and </w:t>
      </w:r>
      <w:r w:rsidRPr="00E939DD">
        <w:rPr>
          <w:rFonts w:ascii="Trebuchet MS" w:eastAsia="Times New Roman" w:hAnsi="Trebuchet MS"/>
          <w:i/>
          <w:iCs/>
          <w:sz w:val="20"/>
          <w:szCs w:val="20"/>
        </w:rPr>
        <w:t>Hibbing Taconite</w:t>
      </w:r>
      <w:r w:rsidRPr="00E939DD">
        <w:rPr>
          <w:rFonts w:ascii="Trebuchet MS" w:eastAsia="Times New Roman" w:hAnsi="Trebuchet MS"/>
          <w:sz w:val="20"/>
          <w:szCs w:val="20"/>
        </w:rPr>
        <w:t xml:space="preserve"> are consistent with the majority of other U.S. District Court decisions where the implications of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r w:rsidRPr="00E939DD">
        <w:rPr>
          <w:rFonts w:ascii="Trebuchet MS" w:eastAsia="Times New Roman" w:hAnsi="Trebuchet MS"/>
          <w:i/>
          <w:iCs/>
          <w:sz w:val="20"/>
          <w:szCs w:val="20"/>
        </w:rPr>
        <w:t>Iqbal</w:t>
      </w:r>
      <w:r w:rsidRPr="00E939DD">
        <w:rPr>
          <w:rFonts w:ascii="Trebuchet MS" w:eastAsia="Times New Roman" w:hAnsi="Trebuchet MS"/>
          <w:sz w:val="20"/>
          <w:szCs w:val="20"/>
        </w:rPr>
        <w:t>’s</w:t>
      </w:r>
      <w:proofErr w:type="spellEnd"/>
      <w:r w:rsidRPr="00E939DD">
        <w:rPr>
          <w:rFonts w:ascii="Trebuchet MS" w:eastAsia="Times New Roman" w:hAnsi="Trebuchet MS"/>
          <w:sz w:val="20"/>
          <w:szCs w:val="20"/>
        </w:rPr>
        <w:t xml:space="preserve"> heightened pleading to affirmative defenses has been at issue.</w:t>
      </w:r>
      <w:r w:rsidRPr="00E939DD">
        <w:rPr>
          <w:rFonts w:ascii="Trebuchet MS" w:eastAsia="Times New Roman" w:hAnsi="Trebuchet MS"/>
          <w:sz w:val="20"/>
          <w:szCs w:val="20"/>
          <w:vertAlign w:val="superscript"/>
        </w:rPr>
        <w:t xml:space="preserve">10 </w:t>
      </w:r>
      <w:r w:rsidRPr="00E939DD">
        <w:rPr>
          <w:rFonts w:ascii="Trebuchet MS" w:eastAsia="Times New Roman" w:hAnsi="Trebuchet MS"/>
          <w:sz w:val="20"/>
          <w:szCs w:val="20"/>
        </w:rPr>
        <w:t xml:space="preserve"> According to the majority of district courts, the practice of many litigators—pleading affirmative defenses as boilerplate recitals—provides plaintiffs with inadequate notice of the bases for the defendants’ legal theories.</w:t>
      </w:r>
      <w:proofErr w:type="gramEnd"/>
      <w:r w:rsidRPr="00E939DD">
        <w:rPr>
          <w:rFonts w:ascii="Trebuchet MS" w:eastAsia="Times New Roman" w:hAnsi="Trebuchet MS"/>
          <w:sz w:val="20"/>
          <w:szCs w:val="20"/>
        </w:rPr>
        <w:t xml:space="preserve">  “[D]</w:t>
      </w:r>
      <w:proofErr w:type="spellStart"/>
      <w:r w:rsidRPr="00E939DD">
        <w:rPr>
          <w:rFonts w:ascii="Trebuchet MS" w:eastAsia="Times New Roman" w:hAnsi="Trebuchet MS"/>
          <w:sz w:val="20"/>
          <w:szCs w:val="20"/>
        </w:rPr>
        <w:t>efenses</w:t>
      </w:r>
      <w:proofErr w:type="spellEnd"/>
      <w:r w:rsidRPr="00E939DD">
        <w:rPr>
          <w:rFonts w:ascii="Trebuchet MS" w:eastAsia="Times New Roman" w:hAnsi="Trebuchet MS"/>
          <w:sz w:val="20"/>
          <w:szCs w:val="20"/>
        </w:rPr>
        <w:t xml:space="preserve"> which amount to nothing more than mere conclusions of law and are not warranted by any asserted facts have no efficacy.”</w:t>
      </w:r>
      <w:r w:rsidRPr="00E939DD">
        <w:rPr>
          <w:rFonts w:ascii="Trebuchet MS" w:eastAsia="Times New Roman" w:hAnsi="Trebuchet MS"/>
          <w:sz w:val="20"/>
          <w:szCs w:val="20"/>
          <w:vertAlign w:val="superscript"/>
        </w:rPr>
        <w:t>11</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While this is the majority view, it is not unanimous.  Indeed, contrary to </w:t>
      </w:r>
      <w:proofErr w:type="spellStart"/>
      <w:r w:rsidRPr="00E939DD">
        <w:rPr>
          <w:rFonts w:ascii="Trebuchet MS" w:eastAsia="Times New Roman" w:hAnsi="Trebuchet MS"/>
          <w:i/>
          <w:iCs/>
          <w:sz w:val="20"/>
          <w:szCs w:val="20"/>
        </w:rPr>
        <w:t>Ahle</w:t>
      </w:r>
      <w:proofErr w:type="spellEnd"/>
      <w:r w:rsidRPr="00E939DD">
        <w:rPr>
          <w:rFonts w:ascii="Trebuchet MS" w:eastAsia="Times New Roman" w:hAnsi="Trebuchet MS"/>
          <w:sz w:val="20"/>
          <w:szCs w:val="20"/>
        </w:rPr>
        <w:t xml:space="preserve"> and </w:t>
      </w:r>
      <w:r w:rsidRPr="00E939DD">
        <w:rPr>
          <w:rFonts w:ascii="Trebuchet MS" w:eastAsia="Times New Roman" w:hAnsi="Trebuchet MS"/>
          <w:i/>
          <w:iCs/>
          <w:sz w:val="20"/>
          <w:szCs w:val="20"/>
        </w:rPr>
        <w:t>Hibbing Taconite</w:t>
      </w:r>
      <w:r w:rsidRPr="00E939DD">
        <w:rPr>
          <w:rFonts w:ascii="Trebuchet MS" w:eastAsia="Times New Roman" w:hAnsi="Trebuchet MS"/>
          <w:sz w:val="20"/>
          <w:szCs w:val="20"/>
        </w:rPr>
        <w:t xml:space="preserve">, the most recent decision from the U.S. District Court for the District of Minnesota adopts the minority view.  In </w:t>
      </w:r>
      <w:r w:rsidRPr="00E939DD">
        <w:rPr>
          <w:rFonts w:ascii="Trebuchet MS" w:eastAsia="Times New Roman" w:hAnsi="Trebuchet MS"/>
          <w:i/>
          <w:iCs/>
          <w:sz w:val="20"/>
          <w:szCs w:val="20"/>
        </w:rPr>
        <w:t>Wells Fargo &amp; Company v. United States of America,</w:t>
      </w:r>
      <w:r w:rsidRPr="00E939DD">
        <w:rPr>
          <w:rFonts w:ascii="Trebuchet MS" w:eastAsia="Times New Roman" w:hAnsi="Trebuchet MS"/>
          <w:sz w:val="20"/>
          <w:szCs w:val="20"/>
        </w:rPr>
        <w:t xml:space="preserve"> decided on October 27, 2010, Judge Patrick </w:t>
      </w:r>
      <w:proofErr w:type="spellStart"/>
      <w:r w:rsidRPr="00E939DD">
        <w:rPr>
          <w:rFonts w:ascii="Trebuchet MS" w:eastAsia="Times New Roman" w:hAnsi="Trebuchet MS"/>
          <w:sz w:val="20"/>
          <w:szCs w:val="20"/>
        </w:rPr>
        <w:t>Schiltz</w:t>
      </w:r>
      <w:proofErr w:type="spellEnd"/>
      <w:r w:rsidRPr="00E939DD">
        <w:rPr>
          <w:rFonts w:ascii="Trebuchet MS" w:eastAsia="Times New Roman" w:hAnsi="Trebuchet MS"/>
          <w:sz w:val="20"/>
          <w:szCs w:val="20"/>
        </w:rPr>
        <w:t xml:space="preserve"> affirmed a refusal by Magistrate Judge Arthur J. </w:t>
      </w:r>
      <w:proofErr w:type="spellStart"/>
      <w:r w:rsidRPr="00E939DD">
        <w:rPr>
          <w:rFonts w:ascii="Trebuchet MS" w:eastAsia="Times New Roman" w:hAnsi="Trebuchet MS"/>
          <w:sz w:val="20"/>
          <w:szCs w:val="20"/>
        </w:rPr>
        <w:t>Boylan</w:t>
      </w:r>
      <w:proofErr w:type="spellEnd"/>
      <w:r w:rsidRPr="00E939DD">
        <w:rPr>
          <w:rFonts w:ascii="Trebuchet MS" w:eastAsia="Times New Roman" w:hAnsi="Trebuchet MS"/>
          <w:sz w:val="20"/>
          <w:szCs w:val="20"/>
        </w:rPr>
        <w:t xml:space="preserve"> to apply the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standard to affirmative defenses.  </w:t>
      </w:r>
      <w:proofErr w:type="gramStart"/>
      <w:r w:rsidRPr="00E939DD">
        <w:rPr>
          <w:rFonts w:ascii="Trebuchet MS" w:eastAsia="Times New Roman" w:hAnsi="Trebuchet MS"/>
          <w:sz w:val="20"/>
          <w:szCs w:val="20"/>
        </w:rPr>
        <w:t>In denying a motion to strike an affirmative defense pled by the United States under Fed.</w:t>
      </w:r>
      <w:proofErr w:type="gramEnd"/>
      <w:r w:rsidRPr="00E939DD">
        <w:rPr>
          <w:rFonts w:ascii="Trebuchet MS" w:eastAsia="Times New Roman" w:hAnsi="Trebuchet MS"/>
          <w:sz w:val="20"/>
          <w:szCs w:val="20"/>
        </w:rPr>
        <w:t xml:space="preserve"> R. Civ. P. 12(f), Judge Schlitz outlined the arguments he found “most compelling” for refusing to apply the heightened pleading standard to affirmative defenses.</w:t>
      </w:r>
      <w:r w:rsidRPr="00E939DD">
        <w:rPr>
          <w:rFonts w:ascii="Trebuchet MS" w:eastAsia="Times New Roman" w:hAnsi="Trebuchet MS"/>
          <w:sz w:val="20"/>
          <w:szCs w:val="20"/>
          <w:vertAlign w:val="superscript"/>
        </w:rPr>
        <w:t xml:space="preserve">12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First, Judge Schlitz noted that applying the new pleading standard to affirmative defenses has no basis in the text of the Federal Rules.  The standard for pleading claims is grounded in the text of Rule 8(a</w:t>
      </w:r>
      <w:proofErr w:type="gramStart"/>
      <w:r w:rsidRPr="00E939DD">
        <w:rPr>
          <w:rFonts w:ascii="Trebuchet MS" w:eastAsia="Times New Roman" w:hAnsi="Trebuchet MS"/>
          <w:sz w:val="20"/>
          <w:szCs w:val="20"/>
        </w:rPr>
        <w:t>)(</w:t>
      </w:r>
      <w:proofErr w:type="gramEnd"/>
      <w:r w:rsidRPr="00E939DD">
        <w:rPr>
          <w:rFonts w:ascii="Trebuchet MS" w:eastAsia="Times New Roman" w:hAnsi="Trebuchet MS"/>
          <w:sz w:val="20"/>
          <w:szCs w:val="20"/>
        </w:rPr>
        <w:t>2), which requires “that a ‘claim for relief’ contain a ‘short and plain statement of the claim showing that the pleader is entitled to relief.’”</w:t>
      </w:r>
      <w:proofErr w:type="gramStart"/>
      <w:r w:rsidRPr="00E939DD">
        <w:rPr>
          <w:rFonts w:ascii="Trebuchet MS" w:eastAsia="Times New Roman" w:hAnsi="Trebuchet MS"/>
          <w:sz w:val="20"/>
          <w:szCs w:val="20"/>
          <w:vertAlign w:val="superscript"/>
        </w:rPr>
        <w:t>13</w:t>
      </w:r>
      <w:r w:rsidRPr="00E939DD">
        <w:rPr>
          <w:rFonts w:ascii="Trebuchet MS" w:eastAsia="Times New Roman" w:hAnsi="Trebuchet MS"/>
          <w:sz w:val="20"/>
          <w:szCs w:val="20"/>
        </w:rPr>
        <w:t xml:space="preserve">  Rule</w:t>
      </w:r>
      <w:proofErr w:type="gramEnd"/>
      <w:r w:rsidRPr="00E939DD">
        <w:rPr>
          <w:rFonts w:ascii="Trebuchet MS" w:eastAsia="Times New Roman" w:hAnsi="Trebuchet MS"/>
          <w:sz w:val="20"/>
          <w:szCs w:val="20"/>
        </w:rPr>
        <w:t xml:space="preserve"> 8(c), the applicable rule for affirmative defenses, contains no such language.  The court noted that unlike a complaint, “[a]n affirmative defense is not a claim for relief, and neither Rule 8(a</w:t>
      </w:r>
      <w:proofErr w:type="gramStart"/>
      <w:r w:rsidRPr="00E939DD">
        <w:rPr>
          <w:rFonts w:ascii="Trebuchet MS" w:eastAsia="Times New Roman" w:hAnsi="Trebuchet MS"/>
          <w:sz w:val="20"/>
          <w:szCs w:val="20"/>
        </w:rPr>
        <w:t>)(</w:t>
      </w:r>
      <w:proofErr w:type="gramEnd"/>
      <w:r w:rsidRPr="00E939DD">
        <w:rPr>
          <w:rFonts w:ascii="Trebuchet MS" w:eastAsia="Times New Roman" w:hAnsi="Trebuchet MS"/>
          <w:sz w:val="20"/>
          <w:szCs w:val="20"/>
        </w:rPr>
        <w:t xml:space="preserve">2) nor any other rule requires a defendant to plead facts ‘showing’ that the pleader is not entitled to relief.”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Next, Judge Schlitz recognized the differing positions of plaintiffs and defendants in a civil action.  While “a plaintiff has months—often years—to investigate a claim before pleading that claim in federal court…a defendant typically has 21 days to serve an answer.”  The heightened pleading standard </w:t>
      </w:r>
      <w:proofErr w:type="gramStart"/>
      <w:r w:rsidRPr="00E939DD">
        <w:rPr>
          <w:rFonts w:ascii="Trebuchet MS" w:eastAsia="Times New Roman" w:hAnsi="Trebuchet MS"/>
          <w:sz w:val="20"/>
          <w:szCs w:val="20"/>
        </w:rPr>
        <w:t>may be more fairly imposed</w:t>
      </w:r>
      <w:proofErr w:type="gramEnd"/>
      <w:r w:rsidRPr="00E939DD">
        <w:rPr>
          <w:rFonts w:ascii="Trebuchet MS" w:eastAsia="Times New Roman" w:hAnsi="Trebuchet MS"/>
          <w:sz w:val="20"/>
          <w:szCs w:val="20"/>
        </w:rPr>
        <w:t xml:space="preserve"> on plaintiffs who, unlike defendants, are not working within strict time constraints.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Finally, Judge Schlitz argued that imposing the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standard on affirmative defense pleading would “radically change civil practice in the federal courts.”  It is common practice for federal litigators </w:t>
      </w:r>
      <w:proofErr w:type="gramStart"/>
      <w:r w:rsidRPr="00E939DD">
        <w:rPr>
          <w:rFonts w:ascii="Trebuchet MS" w:eastAsia="Times New Roman" w:hAnsi="Trebuchet MS"/>
          <w:sz w:val="20"/>
          <w:szCs w:val="20"/>
        </w:rPr>
        <w:t>to simply list</w:t>
      </w:r>
      <w:proofErr w:type="gramEnd"/>
      <w:r w:rsidRPr="00E939DD">
        <w:rPr>
          <w:rFonts w:ascii="Trebuchet MS" w:eastAsia="Times New Roman" w:hAnsi="Trebuchet MS"/>
          <w:sz w:val="20"/>
          <w:szCs w:val="20"/>
        </w:rPr>
        <w:t xml:space="preserve"> affirmative defenses in their answers.  Usually, </w:t>
      </w:r>
      <w:proofErr w:type="gramStart"/>
      <w:r w:rsidRPr="00E939DD">
        <w:rPr>
          <w:rFonts w:ascii="Trebuchet MS" w:eastAsia="Times New Roman" w:hAnsi="Trebuchet MS"/>
          <w:sz w:val="20"/>
          <w:szCs w:val="20"/>
        </w:rPr>
        <w:t>nonviable affirmative defenses are ignored by the parties, and “[n]o judicial intervention is necessary.”</w:t>
      </w:r>
      <w:proofErr w:type="gramEnd"/>
      <w:r w:rsidRPr="00E939DD">
        <w:rPr>
          <w:rFonts w:ascii="Trebuchet MS" w:eastAsia="Times New Roman" w:hAnsi="Trebuchet MS"/>
          <w:sz w:val="20"/>
          <w:szCs w:val="20"/>
        </w:rPr>
        <w:t xml:space="preserve">  Applying the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standard to affirmative defenses “would force defendants to plead fewer affirmative defenses,” then later “move the Court for permission to amend their answers to add affirmative defenses.”  These motions </w:t>
      </w:r>
      <w:proofErr w:type="gramStart"/>
      <w:r w:rsidRPr="00E939DD">
        <w:rPr>
          <w:rFonts w:ascii="Trebuchet MS" w:eastAsia="Times New Roman" w:hAnsi="Trebuchet MS"/>
          <w:sz w:val="20"/>
          <w:szCs w:val="20"/>
        </w:rPr>
        <w:t>will often be resisted</w:t>
      </w:r>
      <w:proofErr w:type="gramEnd"/>
      <w:r w:rsidRPr="00E939DD">
        <w:rPr>
          <w:rFonts w:ascii="Trebuchet MS" w:eastAsia="Times New Roman" w:hAnsi="Trebuchet MS"/>
          <w:sz w:val="20"/>
          <w:szCs w:val="20"/>
        </w:rPr>
        <w:t xml:space="preserve"> by plaintiffs leading to “another round of motion practice [in] many cases.”  Thus, subjecting affirmative defenses to the Supreme Court’s heightened pleading standard will “</w:t>
      </w:r>
      <w:proofErr w:type="spellStart"/>
      <w:r w:rsidRPr="00E939DD">
        <w:rPr>
          <w:rFonts w:ascii="Trebuchet MS" w:eastAsia="Times New Roman" w:hAnsi="Trebuchet MS"/>
          <w:sz w:val="20"/>
          <w:szCs w:val="20"/>
        </w:rPr>
        <w:t>increas</w:t>
      </w:r>
      <w:proofErr w:type="spellEnd"/>
      <w:r w:rsidRPr="00E939DD">
        <w:rPr>
          <w:rFonts w:ascii="Trebuchet MS" w:eastAsia="Times New Roman" w:hAnsi="Trebuchet MS"/>
          <w:sz w:val="20"/>
          <w:szCs w:val="20"/>
        </w:rPr>
        <w:t xml:space="preserve">[e] the burdens on the federal courts, and </w:t>
      </w:r>
      <w:proofErr w:type="gramStart"/>
      <w:r w:rsidRPr="00E939DD">
        <w:rPr>
          <w:rFonts w:ascii="Trebuchet MS" w:eastAsia="Times New Roman" w:hAnsi="Trebuchet MS"/>
          <w:sz w:val="20"/>
          <w:szCs w:val="20"/>
        </w:rPr>
        <w:t>add[</w:t>
      </w:r>
      <w:proofErr w:type="gramEnd"/>
      <w:r w:rsidRPr="00E939DD">
        <w:rPr>
          <w:rFonts w:ascii="Trebuchet MS" w:eastAsia="Times New Roman" w:hAnsi="Trebuchet MS"/>
          <w:sz w:val="20"/>
          <w:szCs w:val="20"/>
        </w:rPr>
        <w:t xml:space="preserve"> ] expense and delay for the parties.”  In Judge Schlitz’s view, </w:t>
      </w:r>
      <w:proofErr w:type="gramStart"/>
      <w:r w:rsidRPr="00E939DD">
        <w:rPr>
          <w:rFonts w:ascii="Trebuchet MS" w:eastAsia="Times New Roman" w:hAnsi="Trebuchet MS"/>
          <w:sz w:val="20"/>
          <w:szCs w:val="20"/>
        </w:rPr>
        <w:t xml:space="preserve">subjecting affirmative defenses to the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pleading standard will not remedy problems</w:t>
      </w:r>
      <w:proofErr w:type="gramEnd"/>
      <w:r w:rsidRPr="00E939DD">
        <w:rPr>
          <w:rFonts w:ascii="Trebuchet MS" w:eastAsia="Times New Roman" w:hAnsi="Trebuchet MS"/>
          <w:sz w:val="20"/>
          <w:szCs w:val="20"/>
        </w:rPr>
        <w:t xml:space="preserve">, </w:t>
      </w:r>
      <w:proofErr w:type="gramStart"/>
      <w:r w:rsidRPr="00E939DD">
        <w:rPr>
          <w:rFonts w:ascii="Trebuchet MS" w:eastAsia="Times New Roman" w:hAnsi="Trebuchet MS"/>
          <w:sz w:val="20"/>
          <w:szCs w:val="20"/>
        </w:rPr>
        <w:t>it will create them</w:t>
      </w:r>
      <w:proofErr w:type="gramEnd"/>
      <w:r w:rsidRPr="00E939DD">
        <w:rPr>
          <w:rFonts w:ascii="Trebuchet MS" w:eastAsia="Times New Roman" w:hAnsi="Trebuchet MS"/>
          <w:sz w:val="20"/>
          <w:szCs w:val="20"/>
        </w:rPr>
        <w:t xml:space="preserve">.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Thus, there is presently a split </w:t>
      </w:r>
      <w:proofErr w:type="gramStart"/>
      <w:r w:rsidRPr="00E939DD">
        <w:rPr>
          <w:rFonts w:ascii="Trebuchet MS" w:eastAsia="Times New Roman" w:hAnsi="Trebuchet MS"/>
          <w:sz w:val="20"/>
          <w:szCs w:val="20"/>
        </w:rPr>
        <w:t xml:space="preserve">within the U.S. District Court for the District of Minnesota about whether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applies to affirmative defenses</w:t>
      </w:r>
      <w:proofErr w:type="gramEnd"/>
      <w:r w:rsidRPr="00E939DD">
        <w:rPr>
          <w:rFonts w:ascii="Trebuchet MS" w:eastAsia="Times New Roman" w:hAnsi="Trebuchet MS"/>
          <w:sz w:val="20"/>
          <w:szCs w:val="20"/>
        </w:rPr>
        <w:t xml:space="preserve">.  Until the Eighth Circuit Court of Appeals decides this issue, its resolution will depend upon which judge </w:t>
      </w:r>
      <w:proofErr w:type="gramStart"/>
      <w:r w:rsidRPr="00E939DD">
        <w:rPr>
          <w:rFonts w:ascii="Trebuchet MS" w:eastAsia="Times New Roman" w:hAnsi="Trebuchet MS"/>
          <w:sz w:val="20"/>
          <w:szCs w:val="20"/>
        </w:rPr>
        <w:t>has been assigned</w:t>
      </w:r>
      <w:proofErr w:type="gramEnd"/>
      <w:r w:rsidRPr="00E939DD">
        <w:rPr>
          <w:rFonts w:ascii="Trebuchet MS" w:eastAsia="Times New Roman" w:hAnsi="Trebuchet MS"/>
          <w:sz w:val="20"/>
          <w:szCs w:val="20"/>
        </w:rPr>
        <w:t xml:space="preserve"> a particular case.  Under these circumstances, the conservative approach for practitioners is to conform to the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pleading standard when asserting affirmative defenses.</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lastRenderedPageBreak/>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b/>
          <w:sz w:val="22"/>
        </w:rPr>
        <w:t xml:space="preserve">Application of </w:t>
      </w:r>
      <w:proofErr w:type="spellStart"/>
      <w:r w:rsidRPr="00E939DD">
        <w:rPr>
          <w:rFonts w:ascii="Trebuchet MS" w:eastAsia="Times New Roman" w:hAnsi="Trebuchet MS"/>
          <w:b/>
          <w:sz w:val="22"/>
        </w:rPr>
        <w:t>Twombly</w:t>
      </w:r>
      <w:proofErr w:type="spellEnd"/>
      <w:r w:rsidRPr="00E939DD">
        <w:rPr>
          <w:rFonts w:ascii="Trebuchet MS" w:eastAsia="Times New Roman" w:hAnsi="Trebuchet MS"/>
          <w:b/>
          <w:sz w:val="22"/>
        </w:rPr>
        <w:t>/</w:t>
      </w:r>
      <w:proofErr w:type="spellStart"/>
      <w:r w:rsidRPr="00E939DD">
        <w:rPr>
          <w:rFonts w:ascii="Trebuchet MS" w:eastAsia="Times New Roman" w:hAnsi="Trebuchet MS"/>
          <w:b/>
          <w:sz w:val="22"/>
        </w:rPr>
        <w:t>Iqbal</w:t>
      </w:r>
      <w:proofErr w:type="spellEnd"/>
      <w:r w:rsidRPr="00E939DD">
        <w:rPr>
          <w:rFonts w:ascii="Trebuchet MS" w:eastAsia="Times New Roman" w:hAnsi="Trebuchet MS"/>
          <w:b/>
          <w:sz w:val="22"/>
        </w:rPr>
        <w:t xml:space="preserve"> in State Court</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Also </w:t>
      </w:r>
      <w:proofErr w:type="gramStart"/>
      <w:r w:rsidRPr="00E939DD">
        <w:rPr>
          <w:rFonts w:ascii="Trebuchet MS" w:eastAsia="Times New Roman" w:hAnsi="Trebuchet MS"/>
          <w:sz w:val="20"/>
          <w:szCs w:val="20"/>
        </w:rPr>
        <w:t>yet</w:t>
      </w:r>
      <w:proofErr w:type="gramEnd"/>
      <w:r w:rsidRPr="00E939DD">
        <w:rPr>
          <w:rFonts w:ascii="Trebuchet MS" w:eastAsia="Times New Roman" w:hAnsi="Trebuchet MS"/>
          <w:sz w:val="20"/>
          <w:szCs w:val="20"/>
        </w:rPr>
        <w:t xml:space="preserve"> to be seen is whether the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i/>
          <w:iCs/>
          <w:sz w:val="20"/>
          <w:szCs w:val="20"/>
        </w:rPr>
        <w:t xml:space="preserve"> </w:t>
      </w:r>
      <w:r w:rsidRPr="00E939DD">
        <w:rPr>
          <w:rFonts w:ascii="Trebuchet MS" w:eastAsia="Times New Roman" w:hAnsi="Trebuchet MS"/>
          <w:sz w:val="20"/>
          <w:szCs w:val="20"/>
        </w:rPr>
        <w:t xml:space="preserve">pleading standard will become the uniform standard for state court actions.  Since the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sz w:val="20"/>
          <w:szCs w:val="20"/>
        </w:rPr>
        <w:t xml:space="preserve"> and </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decisions, a handful of states have either expressly or impliedly adopted the new </w:t>
      </w:r>
      <w:proofErr w:type="gramStart"/>
      <w:r w:rsidRPr="00E939DD">
        <w:rPr>
          <w:rFonts w:ascii="Trebuchet MS" w:eastAsia="Times New Roman" w:hAnsi="Trebuchet MS"/>
          <w:sz w:val="20"/>
          <w:szCs w:val="20"/>
        </w:rPr>
        <w:t>standard.</w:t>
      </w:r>
      <w:r w:rsidRPr="00E939DD">
        <w:rPr>
          <w:rFonts w:ascii="Trebuchet MS" w:eastAsia="Times New Roman" w:hAnsi="Trebuchet MS"/>
          <w:sz w:val="20"/>
          <w:szCs w:val="20"/>
          <w:vertAlign w:val="superscript"/>
        </w:rPr>
        <w:t>14</w:t>
      </w:r>
      <w:r w:rsidRPr="00E939DD">
        <w:rPr>
          <w:rFonts w:ascii="Trebuchet MS" w:eastAsia="Times New Roman" w:hAnsi="Trebuchet MS"/>
          <w:sz w:val="20"/>
          <w:szCs w:val="20"/>
        </w:rPr>
        <w:t xml:space="preserve">  On</w:t>
      </w:r>
      <w:proofErr w:type="gramEnd"/>
      <w:r w:rsidRPr="00E939DD">
        <w:rPr>
          <w:rFonts w:ascii="Trebuchet MS" w:eastAsia="Times New Roman" w:hAnsi="Trebuchet MS"/>
          <w:sz w:val="20"/>
          <w:szCs w:val="20"/>
        </w:rPr>
        <w:t xml:space="preserve"> the other hand, at least two states have refused to adopt the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standard in state proceedings.</w:t>
      </w:r>
      <w:r w:rsidRPr="00E939DD">
        <w:rPr>
          <w:rFonts w:ascii="Trebuchet MS" w:eastAsia="Times New Roman" w:hAnsi="Trebuchet MS"/>
          <w:sz w:val="20"/>
          <w:szCs w:val="20"/>
          <w:vertAlign w:val="superscript"/>
        </w:rPr>
        <w:t>15</w:t>
      </w:r>
      <w:r w:rsidRPr="00E939DD">
        <w:rPr>
          <w:rFonts w:ascii="Trebuchet MS" w:eastAsia="Times New Roman" w:hAnsi="Trebuchet MS"/>
          <w:sz w:val="20"/>
          <w:szCs w:val="20"/>
        </w:rPr>
        <w:t>  Still other states have declined to take a definitive position on the issue.</w:t>
      </w:r>
      <w:r w:rsidRPr="00E939DD">
        <w:rPr>
          <w:rFonts w:ascii="Trebuchet MS" w:eastAsia="Times New Roman" w:hAnsi="Trebuchet MS"/>
          <w:sz w:val="20"/>
          <w:szCs w:val="20"/>
          <w:vertAlign w:val="superscript"/>
        </w:rPr>
        <w:t>16</w:t>
      </w:r>
      <w:r w:rsidRPr="00E939DD">
        <w:rPr>
          <w:rFonts w:ascii="Trebuchet MS" w:eastAsia="Times New Roman" w:hAnsi="Trebuchet MS"/>
          <w:sz w:val="20"/>
          <w:szCs w:val="20"/>
        </w:rPr>
        <w:t xml:space="preserve">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Minnesota falls into the category of states that have impliedly adopted the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standard.  </w:t>
      </w:r>
      <w:proofErr w:type="gramStart"/>
      <w:r w:rsidRPr="00E939DD">
        <w:rPr>
          <w:rFonts w:ascii="Trebuchet MS" w:eastAsia="Times New Roman" w:hAnsi="Trebuchet MS"/>
          <w:sz w:val="20"/>
          <w:szCs w:val="20"/>
        </w:rPr>
        <w:t xml:space="preserve">In Hebert v. City of Fifty Lakes, 744 N.W.2d 226, 235 (Minn. 2008), the Minnesota Supreme Court cited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sz w:val="20"/>
          <w:szCs w:val="20"/>
        </w:rPr>
        <w:t xml:space="preserve"> while noting that “[w]e are not bound by legal conclusions stated in a complaint when determining whether the complaint survives a motion to dismiss for failure to state a claim” and “legal conclusions masquerading as factual conclusions will not suffice to prevent a motion to dismiss.”</w:t>
      </w:r>
      <w:proofErr w:type="gramEnd"/>
      <w:r w:rsidRPr="00E939DD">
        <w:rPr>
          <w:rFonts w:ascii="Trebuchet MS" w:eastAsia="Times New Roman" w:hAnsi="Trebuchet MS"/>
          <w:sz w:val="20"/>
          <w:szCs w:val="20"/>
        </w:rPr>
        <w:t xml:space="preserve">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More recently, in Bahr v. </w:t>
      </w:r>
      <w:proofErr w:type="spellStart"/>
      <w:r w:rsidRPr="00E939DD">
        <w:rPr>
          <w:rFonts w:ascii="Trebuchet MS" w:eastAsia="Times New Roman" w:hAnsi="Trebuchet MS"/>
          <w:sz w:val="20"/>
          <w:szCs w:val="20"/>
        </w:rPr>
        <w:t>Capella</w:t>
      </w:r>
      <w:proofErr w:type="spellEnd"/>
      <w:r w:rsidRPr="00E939DD">
        <w:rPr>
          <w:rFonts w:ascii="Trebuchet MS" w:eastAsia="Times New Roman" w:hAnsi="Trebuchet MS"/>
          <w:sz w:val="20"/>
          <w:szCs w:val="20"/>
        </w:rPr>
        <w:t xml:space="preserve"> Univ., 788 N.W.2d. 76</w:t>
      </w:r>
      <w:proofErr w:type="gramStart"/>
      <w:r w:rsidRPr="00E939DD">
        <w:rPr>
          <w:rFonts w:ascii="Trebuchet MS" w:eastAsia="Times New Roman" w:hAnsi="Trebuchet MS"/>
          <w:sz w:val="20"/>
          <w:szCs w:val="20"/>
        </w:rPr>
        <w:t>,  80</w:t>
      </w:r>
      <w:proofErr w:type="gramEnd"/>
      <w:r w:rsidRPr="00E939DD">
        <w:rPr>
          <w:rFonts w:ascii="Trebuchet MS" w:eastAsia="Times New Roman" w:hAnsi="Trebuchet MS"/>
          <w:sz w:val="20"/>
          <w:szCs w:val="20"/>
        </w:rPr>
        <w:t xml:space="preserve"> (Minn. 2010), the Minnesota Supreme Court again cited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sz w:val="20"/>
          <w:szCs w:val="20"/>
        </w:rPr>
        <w:t xml:space="preserve"> while noting that “[a] plaintiff must provide more than labels and conclusions” in his pleadings.  While paying lip service to the old “notice pleading” standard, </w:t>
      </w:r>
      <w:r w:rsidRPr="00E939DD">
        <w:rPr>
          <w:rFonts w:ascii="Trebuchet MS" w:eastAsia="Times New Roman" w:hAnsi="Trebuchet MS"/>
          <w:i/>
          <w:iCs/>
          <w:sz w:val="20"/>
          <w:szCs w:val="20"/>
        </w:rPr>
        <w:t>see id.,</w:t>
      </w:r>
      <w:r w:rsidRPr="00E939DD">
        <w:rPr>
          <w:rFonts w:ascii="Trebuchet MS" w:eastAsia="Times New Roman" w:hAnsi="Trebuchet MS"/>
          <w:sz w:val="20"/>
          <w:szCs w:val="20"/>
        </w:rPr>
        <w:t xml:space="preserve"> in a clear nod to the new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i/>
          <w:iCs/>
          <w:sz w:val="20"/>
          <w:szCs w:val="20"/>
        </w:rPr>
        <w:t xml:space="preserve"> </w:t>
      </w:r>
      <w:r w:rsidRPr="00E939DD">
        <w:rPr>
          <w:rFonts w:ascii="Trebuchet MS" w:eastAsia="Times New Roman" w:hAnsi="Trebuchet MS"/>
          <w:sz w:val="20"/>
          <w:szCs w:val="20"/>
        </w:rPr>
        <w:t xml:space="preserve">standard, the </w:t>
      </w:r>
      <w:r w:rsidRPr="00E939DD">
        <w:rPr>
          <w:rFonts w:ascii="Trebuchet MS" w:eastAsia="Times New Roman" w:hAnsi="Trebuchet MS"/>
          <w:i/>
          <w:iCs/>
          <w:sz w:val="20"/>
          <w:szCs w:val="20"/>
        </w:rPr>
        <w:t>Bahr</w:t>
      </w:r>
      <w:r w:rsidRPr="00E939DD">
        <w:rPr>
          <w:rFonts w:ascii="Trebuchet MS" w:eastAsia="Times New Roman" w:hAnsi="Trebuchet MS"/>
          <w:sz w:val="20"/>
          <w:szCs w:val="20"/>
        </w:rPr>
        <w:t xml:space="preserve"> court went on to determine that the plaintiff’s complaint was properly dismissed by the district court because it was not “based on a legal theory and facts that are plausible[.]”  In order to prove her claim, the plaintiff in </w:t>
      </w:r>
      <w:r w:rsidRPr="00E939DD">
        <w:rPr>
          <w:rFonts w:ascii="Trebuchet MS" w:eastAsia="Times New Roman" w:hAnsi="Trebuchet MS"/>
          <w:i/>
          <w:iCs/>
          <w:sz w:val="20"/>
          <w:szCs w:val="20"/>
        </w:rPr>
        <w:t>Bahr</w:t>
      </w:r>
      <w:r w:rsidRPr="00E939DD">
        <w:rPr>
          <w:rFonts w:ascii="Trebuchet MS" w:eastAsia="Times New Roman" w:hAnsi="Trebuchet MS"/>
          <w:sz w:val="20"/>
          <w:szCs w:val="20"/>
        </w:rPr>
        <w:t xml:space="preserve"> was required to prove an objectively reasonable belief that her employer was violating Minnesota law.  The Minnesota Supreme Court held that “[plaintiff] cannot merely claim a reasonable belief...and thereby avoid scrutiny of her </w:t>
      </w:r>
      <w:proofErr w:type="gramStart"/>
      <w:r w:rsidRPr="00E939DD">
        <w:rPr>
          <w:rFonts w:ascii="Trebuchet MS" w:eastAsia="Times New Roman" w:hAnsi="Trebuchet MS"/>
          <w:sz w:val="20"/>
          <w:szCs w:val="20"/>
        </w:rPr>
        <w:t>claim[</w:t>
      </w:r>
      <w:proofErr w:type="gramEnd"/>
      <w:r w:rsidRPr="00E939DD">
        <w:rPr>
          <w:rFonts w:ascii="Trebuchet MS" w:eastAsia="Times New Roman" w:hAnsi="Trebuchet MS"/>
          <w:sz w:val="20"/>
          <w:szCs w:val="20"/>
        </w:rPr>
        <w:t xml:space="preserve">.]”  Instead, in order to survive a Rule 12 motion to dismiss, “[plaintiff] must plead sufficient facts to show that it was objectively reasonable for her to believe that [her employers’] actions were forbidden by [Minnesota law].”  While referencing the old “notice pleading” standard, the Minnesota Supreme Court goes on to apply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proofErr w:type="gramStart"/>
      <w:r w:rsidRPr="00E939DD">
        <w:rPr>
          <w:rFonts w:ascii="Trebuchet MS" w:eastAsia="Times New Roman" w:hAnsi="Trebuchet MS"/>
          <w:i/>
          <w:iCs/>
          <w:sz w:val="20"/>
          <w:szCs w:val="20"/>
        </w:rPr>
        <w:t>Iqbal</w:t>
      </w:r>
      <w:r w:rsidRPr="00E939DD">
        <w:rPr>
          <w:rFonts w:ascii="Trebuchet MS" w:eastAsia="Times New Roman" w:hAnsi="Trebuchet MS"/>
          <w:sz w:val="20"/>
          <w:szCs w:val="20"/>
        </w:rPr>
        <w:t>’s</w:t>
      </w:r>
      <w:proofErr w:type="spellEnd"/>
      <w:proofErr w:type="gramEnd"/>
      <w:r w:rsidRPr="00E939DD">
        <w:rPr>
          <w:rFonts w:ascii="Trebuchet MS" w:eastAsia="Times New Roman" w:hAnsi="Trebuchet MS"/>
          <w:sz w:val="20"/>
          <w:szCs w:val="20"/>
        </w:rPr>
        <w:t xml:space="preserve"> heightened standard.</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Nowhere does </w:t>
      </w:r>
      <w:r w:rsidRPr="00E939DD">
        <w:rPr>
          <w:rFonts w:ascii="Trebuchet MS" w:eastAsia="Times New Roman" w:hAnsi="Trebuchet MS"/>
          <w:i/>
          <w:iCs/>
          <w:sz w:val="20"/>
          <w:szCs w:val="20"/>
        </w:rPr>
        <w:t>Bahr</w:t>
      </w:r>
      <w:r w:rsidRPr="00E939DD">
        <w:rPr>
          <w:rFonts w:ascii="Trebuchet MS" w:eastAsia="Times New Roman" w:hAnsi="Trebuchet MS"/>
          <w:sz w:val="20"/>
          <w:szCs w:val="20"/>
        </w:rPr>
        <w:t xml:space="preserve"> state that the Minnesota Supreme Court is adopting the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pleading standard, but that is </w:t>
      </w:r>
      <w:r w:rsidRPr="00E939DD">
        <w:rPr>
          <w:rFonts w:ascii="Trebuchet MS" w:eastAsia="Times New Roman" w:hAnsi="Trebuchet MS"/>
          <w:i/>
          <w:iCs/>
          <w:sz w:val="20"/>
          <w:szCs w:val="20"/>
        </w:rPr>
        <w:t xml:space="preserve">Bahr’s </w:t>
      </w:r>
      <w:r w:rsidRPr="00E939DD">
        <w:rPr>
          <w:rFonts w:ascii="Trebuchet MS" w:eastAsia="Times New Roman" w:hAnsi="Trebuchet MS"/>
          <w:sz w:val="20"/>
          <w:szCs w:val="20"/>
        </w:rPr>
        <w:t xml:space="preserve">clear implication.  After </w:t>
      </w:r>
      <w:r w:rsidRPr="00E939DD">
        <w:rPr>
          <w:rFonts w:ascii="Trebuchet MS" w:eastAsia="Times New Roman" w:hAnsi="Trebuchet MS"/>
          <w:i/>
          <w:iCs/>
          <w:sz w:val="20"/>
          <w:szCs w:val="20"/>
        </w:rPr>
        <w:t>Bahr</w:t>
      </w:r>
      <w:r w:rsidRPr="00E939DD">
        <w:rPr>
          <w:rFonts w:ascii="Trebuchet MS" w:eastAsia="Times New Roman" w:hAnsi="Trebuchet MS"/>
          <w:sz w:val="20"/>
          <w:szCs w:val="20"/>
        </w:rPr>
        <w:t xml:space="preserve">, </w:t>
      </w:r>
      <w:proofErr w:type="gramStart"/>
      <w:r w:rsidRPr="00E939DD">
        <w:rPr>
          <w:rFonts w:ascii="Trebuchet MS" w:eastAsia="Times New Roman" w:hAnsi="Trebuchet MS"/>
          <w:sz w:val="20"/>
          <w:szCs w:val="20"/>
        </w:rPr>
        <w:t>for all intents and purposes</w:t>
      </w:r>
      <w:proofErr w:type="gramEnd"/>
      <w:r w:rsidRPr="00E939DD">
        <w:rPr>
          <w:rFonts w:ascii="Trebuchet MS" w:eastAsia="Times New Roman" w:hAnsi="Trebuchet MS"/>
          <w:sz w:val="20"/>
          <w:szCs w:val="20"/>
        </w:rPr>
        <w:t xml:space="preserve">,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is in effect in Minnesota state courts.</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w:t>
      </w:r>
    </w:p>
    <w:p w:rsidR="00E939DD" w:rsidRPr="00E939DD" w:rsidRDefault="00E939DD" w:rsidP="00E939DD">
      <w:pPr>
        <w:spacing w:after="0" w:line="240" w:lineRule="auto"/>
        <w:jc w:val="left"/>
        <w:rPr>
          <w:rFonts w:eastAsia="Times New Roman"/>
          <w:szCs w:val="24"/>
        </w:rPr>
      </w:pPr>
      <w:r w:rsidRPr="00E939DD">
        <w:rPr>
          <w:rFonts w:ascii="Trebuchet MS" w:eastAsia="Times New Roman" w:hAnsi="Trebuchet MS"/>
          <w:sz w:val="20"/>
          <w:szCs w:val="20"/>
        </w:rPr>
        <w:t xml:space="preserve">Again, given this state of the law, the conservative approach for practitioners is to file pleadings that conform to the </w:t>
      </w:r>
      <w:proofErr w:type="spellStart"/>
      <w:r w:rsidRPr="00E939DD">
        <w:rPr>
          <w:rFonts w:ascii="Trebuchet MS" w:eastAsia="Times New Roman" w:hAnsi="Trebuchet MS"/>
          <w:i/>
          <w:iCs/>
          <w:sz w:val="20"/>
          <w:szCs w:val="20"/>
        </w:rPr>
        <w:t>Twombly</w:t>
      </w:r>
      <w:proofErr w:type="spellEnd"/>
      <w:r w:rsidRPr="00E939DD">
        <w:rPr>
          <w:rFonts w:ascii="Trebuchet MS" w:eastAsia="Times New Roman" w:hAnsi="Trebuchet MS"/>
          <w:i/>
          <w:iCs/>
          <w:sz w:val="20"/>
          <w:szCs w:val="20"/>
        </w:rPr>
        <w:t>/</w:t>
      </w:r>
      <w:proofErr w:type="spellStart"/>
      <w:r w:rsidRPr="00E939DD">
        <w:rPr>
          <w:rFonts w:ascii="Trebuchet MS" w:eastAsia="Times New Roman" w:hAnsi="Trebuchet MS"/>
          <w:i/>
          <w:iCs/>
          <w:sz w:val="20"/>
          <w:szCs w:val="20"/>
        </w:rPr>
        <w:t>Iqbal</w:t>
      </w:r>
      <w:proofErr w:type="spellEnd"/>
      <w:r w:rsidRPr="00E939DD">
        <w:rPr>
          <w:rFonts w:ascii="Trebuchet MS" w:eastAsia="Times New Roman" w:hAnsi="Trebuchet MS"/>
          <w:sz w:val="20"/>
          <w:szCs w:val="20"/>
        </w:rPr>
        <w:t xml:space="preserve"> standard, even in state court cases.  Failing to do so is an extraordinary risk, as it could result in a dismissal of the action.  </w:t>
      </w:r>
    </w:p>
    <w:p w:rsidR="00DD41BD" w:rsidRDefault="00DD41BD"/>
    <w:sectPr w:rsidR="00DD41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B90D98"/>
    <w:multiLevelType w:val="hybridMultilevel"/>
    <w:tmpl w:val="02E677F8"/>
    <w:lvl w:ilvl="0" w:tplc="6A7A59C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6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9DD"/>
    <w:rsid w:val="000259BF"/>
    <w:rsid w:val="004E7BF8"/>
    <w:rsid w:val="00873FD2"/>
    <w:rsid w:val="008D6850"/>
    <w:rsid w:val="00A072CB"/>
    <w:rsid w:val="00DD41BD"/>
    <w:rsid w:val="00E93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BF8"/>
    <w:pPr>
      <w:spacing w:after="120" w:line="360" w:lineRule="auto"/>
      <w:jc w:val="both"/>
    </w:pPr>
    <w:rPr>
      <w:rFonts w:ascii="Times New Roman" w:hAnsi="Times New Roman" w:cs="Times New Roman"/>
      <w:sz w:val="24"/>
    </w:rPr>
  </w:style>
  <w:style w:type="paragraph" w:styleId="Heading1">
    <w:name w:val="heading 1"/>
    <w:basedOn w:val="Normal"/>
    <w:next w:val="Normal"/>
    <w:link w:val="Heading1Char"/>
    <w:autoRedefine/>
    <w:uiPriority w:val="9"/>
    <w:qFormat/>
    <w:rsid w:val="00873FD2"/>
    <w:pPr>
      <w:keepNext/>
      <w:keepLines/>
      <w:spacing w:before="240" w:after="0"/>
      <w:jc w:val="center"/>
      <w:outlineLvl w:val="0"/>
    </w:pPr>
    <w:rPr>
      <w:rFonts w:asciiTheme="majorHAnsi" w:eastAsiaTheme="majorEastAsia" w:hAnsiTheme="majorHAnsi" w:cstheme="majorBidi"/>
      <w:b/>
      <w:bCs/>
      <w:color w:val="000000" w:themeColor="tex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autoRedefine/>
    <w:qFormat/>
    <w:rsid w:val="004E7BF8"/>
    <w:pPr>
      <w:spacing w:line="240" w:lineRule="auto"/>
      <w:ind w:left="720" w:right="720"/>
    </w:pPr>
    <w:rPr>
      <w:i/>
      <w:iCs/>
      <w:color w:val="000000" w:themeColor="text1"/>
      <w:sz w:val="22"/>
    </w:rPr>
  </w:style>
  <w:style w:type="character" w:customStyle="1" w:styleId="QuoteChar">
    <w:name w:val="Quote Char"/>
    <w:basedOn w:val="DefaultParagraphFont"/>
    <w:link w:val="Quote"/>
    <w:rsid w:val="004E7BF8"/>
    <w:rPr>
      <w:rFonts w:ascii="Times New Roman" w:hAnsi="Times New Roman" w:cs="Times New Roman"/>
      <w:i/>
      <w:iCs/>
      <w:color w:val="000000" w:themeColor="text1"/>
    </w:rPr>
  </w:style>
  <w:style w:type="paragraph" w:customStyle="1" w:styleId="Heading">
    <w:name w:val="Heading"/>
    <w:basedOn w:val="Normal"/>
    <w:next w:val="BodyText"/>
    <w:autoRedefine/>
    <w:qFormat/>
    <w:rsid w:val="004E7BF8"/>
    <w:pPr>
      <w:keepNext/>
      <w:suppressAutoHyphens/>
      <w:spacing w:before="240" w:after="240" w:line="240" w:lineRule="auto"/>
      <w:ind w:left="360"/>
      <w:jc w:val="center"/>
    </w:pPr>
    <w:rPr>
      <w:rFonts w:eastAsia="MS Mincho" w:cs="Tahoma"/>
      <w:b/>
      <w:bCs/>
      <w:caps/>
      <w:szCs w:val="28"/>
      <w:lang w:eastAsia="ar-SA"/>
    </w:rPr>
  </w:style>
  <w:style w:type="paragraph" w:styleId="BodyText">
    <w:name w:val="Body Text"/>
    <w:basedOn w:val="Normal"/>
    <w:link w:val="BodyTextChar"/>
    <w:uiPriority w:val="99"/>
    <w:semiHidden/>
    <w:unhideWhenUsed/>
    <w:rsid w:val="008D6850"/>
  </w:style>
  <w:style w:type="character" w:customStyle="1" w:styleId="BodyTextChar">
    <w:name w:val="Body Text Char"/>
    <w:basedOn w:val="DefaultParagraphFont"/>
    <w:link w:val="BodyText"/>
    <w:uiPriority w:val="99"/>
    <w:semiHidden/>
    <w:rsid w:val="008D6850"/>
    <w:rPr>
      <w:rFonts w:ascii="Times New Roman" w:hAnsi="Times New Roman" w:cs="Times New Roman"/>
      <w:sz w:val="24"/>
    </w:rPr>
  </w:style>
  <w:style w:type="character" w:customStyle="1" w:styleId="Heading1Char">
    <w:name w:val="Heading 1 Char"/>
    <w:basedOn w:val="DefaultParagraphFont"/>
    <w:link w:val="Heading1"/>
    <w:uiPriority w:val="9"/>
    <w:rsid w:val="00873FD2"/>
    <w:rPr>
      <w:rFonts w:asciiTheme="majorHAnsi" w:eastAsiaTheme="majorEastAsia" w:hAnsiTheme="majorHAnsi" w:cstheme="majorBidi"/>
      <w:b/>
      <w:bCs/>
      <w:color w:val="000000" w:themeColor="text1"/>
      <w:sz w:val="28"/>
      <w:szCs w:val="28"/>
    </w:rPr>
  </w:style>
  <w:style w:type="paragraph" w:styleId="NoSpacing">
    <w:name w:val="No Spacing"/>
    <w:autoRedefine/>
    <w:uiPriority w:val="1"/>
    <w:qFormat/>
    <w:rsid w:val="004E7BF8"/>
    <w:pPr>
      <w:spacing w:after="120" w:line="240" w:lineRule="auto"/>
      <w:jc w:val="both"/>
    </w:pPr>
    <w:rPr>
      <w:rFonts w:ascii="Times New Roman" w:hAnsi="Times New Roman" w:cs="Times New Roman"/>
      <w:sz w:val="24"/>
    </w:rPr>
  </w:style>
  <w:style w:type="paragraph" w:styleId="NormalWeb">
    <w:name w:val="Normal (Web)"/>
    <w:basedOn w:val="Normal"/>
    <w:uiPriority w:val="99"/>
    <w:semiHidden/>
    <w:unhideWhenUsed/>
    <w:rsid w:val="00E939DD"/>
    <w:pPr>
      <w:spacing w:before="100" w:beforeAutospacing="1" w:after="100" w:afterAutospacing="1" w:line="240" w:lineRule="auto"/>
      <w:jc w:val="left"/>
    </w:pPr>
    <w:rPr>
      <w:rFonts w:eastAsia="Times New Roman"/>
      <w:szCs w:val="24"/>
    </w:rPr>
  </w:style>
  <w:style w:type="paragraph" w:styleId="BalloonText">
    <w:name w:val="Balloon Text"/>
    <w:basedOn w:val="Normal"/>
    <w:link w:val="BalloonTextChar"/>
    <w:uiPriority w:val="99"/>
    <w:semiHidden/>
    <w:unhideWhenUsed/>
    <w:rsid w:val="00E939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39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BF8"/>
    <w:pPr>
      <w:spacing w:after="120" w:line="360" w:lineRule="auto"/>
      <w:jc w:val="both"/>
    </w:pPr>
    <w:rPr>
      <w:rFonts w:ascii="Times New Roman" w:hAnsi="Times New Roman" w:cs="Times New Roman"/>
      <w:sz w:val="24"/>
    </w:rPr>
  </w:style>
  <w:style w:type="paragraph" w:styleId="Heading1">
    <w:name w:val="heading 1"/>
    <w:basedOn w:val="Normal"/>
    <w:next w:val="Normal"/>
    <w:link w:val="Heading1Char"/>
    <w:autoRedefine/>
    <w:uiPriority w:val="9"/>
    <w:qFormat/>
    <w:rsid w:val="00873FD2"/>
    <w:pPr>
      <w:keepNext/>
      <w:keepLines/>
      <w:spacing w:before="240" w:after="0"/>
      <w:jc w:val="center"/>
      <w:outlineLvl w:val="0"/>
    </w:pPr>
    <w:rPr>
      <w:rFonts w:asciiTheme="majorHAnsi" w:eastAsiaTheme="majorEastAsia" w:hAnsiTheme="majorHAnsi" w:cstheme="majorBidi"/>
      <w:b/>
      <w:bCs/>
      <w:color w:val="000000" w:themeColor="tex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autoRedefine/>
    <w:qFormat/>
    <w:rsid w:val="004E7BF8"/>
    <w:pPr>
      <w:spacing w:line="240" w:lineRule="auto"/>
      <w:ind w:left="720" w:right="720"/>
    </w:pPr>
    <w:rPr>
      <w:i/>
      <w:iCs/>
      <w:color w:val="000000" w:themeColor="text1"/>
      <w:sz w:val="22"/>
    </w:rPr>
  </w:style>
  <w:style w:type="character" w:customStyle="1" w:styleId="QuoteChar">
    <w:name w:val="Quote Char"/>
    <w:basedOn w:val="DefaultParagraphFont"/>
    <w:link w:val="Quote"/>
    <w:rsid w:val="004E7BF8"/>
    <w:rPr>
      <w:rFonts w:ascii="Times New Roman" w:hAnsi="Times New Roman" w:cs="Times New Roman"/>
      <w:i/>
      <w:iCs/>
      <w:color w:val="000000" w:themeColor="text1"/>
    </w:rPr>
  </w:style>
  <w:style w:type="paragraph" w:customStyle="1" w:styleId="Heading">
    <w:name w:val="Heading"/>
    <w:basedOn w:val="Normal"/>
    <w:next w:val="BodyText"/>
    <w:autoRedefine/>
    <w:qFormat/>
    <w:rsid w:val="004E7BF8"/>
    <w:pPr>
      <w:keepNext/>
      <w:suppressAutoHyphens/>
      <w:spacing w:before="240" w:after="240" w:line="240" w:lineRule="auto"/>
      <w:ind w:left="360"/>
      <w:jc w:val="center"/>
    </w:pPr>
    <w:rPr>
      <w:rFonts w:eastAsia="MS Mincho" w:cs="Tahoma"/>
      <w:b/>
      <w:bCs/>
      <w:caps/>
      <w:szCs w:val="28"/>
      <w:lang w:eastAsia="ar-SA"/>
    </w:rPr>
  </w:style>
  <w:style w:type="paragraph" w:styleId="BodyText">
    <w:name w:val="Body Text"/>
    <w:basedOn w:val="Normal"/>
    <w:link w:val="BodyTextChar"/>
    <w:uiPriority w:val="99"/>
    <w:semiHidden/>
    <w:unhideWhenUsed/>
    <w:rsid w:val="008D6850"/>
  </w:style>
  <w:style w:type="character" w:customStyle="1" w:styleId="BodyTextChar">
    <w:name w:val="Body Text Char"/>
    <w:basedOn w:val="DefaultParagraphFont"/>
    <w:link w:val="BodyText"/>
    <w:uiPriority w:val="99"/>
    <w:semiHidden/>
    <w:rsid w:val="008D6850"/>
    <w:rPr>
      <w:rFonts w:ascii="Times New Roman" w:hAnsi="Times New Roman" w:cs="Times New Roman"/>
      <w:sz w:val="24"/>
    </w:rPr>
  </w:style>
  <w:style w:type="character" w:customStyle="1" w:styleId="Heading1Char">
    <w:name w:val="Heading 1 Char"/>
    <w:basedOn w:val="DefaultParagraphFont"/>
    <w:link w:val="Heading1"/>
    <w:uiPriority w:val="9"/>
    <w:rsid w:val="00873FD2"/>
    <w:rPr>
      <w:rFonts w:asciiTheme="majorHAnsi" w:eastAsiaTheme="majorEastAsia" w:hAnsiTheme="majorHAnsi" w:cstheme="majorBidi"/>
      <w:b/>
      <w:bCs/>
      <w:color w:val="000000" w:themeColor="text1"/>
      <w:sz w:val="28"/>
      <w:szCs w:val="28"/>
    </w:rPr>
  </w:style>
  <w:style w:type="paragraph" w:styleId="NoSpacing">
    <w:name w:val="No Spacing"/>
    <w:autoRedefine/>
    <w:uiPriority w:val="1"/>
    <w:qFormat/>
    <w:rsid w:val="004E7BF8"/>
    <w:pPr>
      <w:spacing w:after="120" w:line="240" w:lineRule="auto"/>
      <w:jc w:val="both"/>
    </w:pPr>
    <w:rPr>
      <w:rFonts w:ascii="Times New Roman" w:hAnsi="Times New Roman" w:cs="Times New Roman"/>
      <w:sz w:val="24"/>
    </w:rPr>
  </w:style>
  <w:style w:type="paragraph" w:styleId="NormalWeb">
    <w:name w:val="Normal (Web)"/>
    <w:basedOn w:val="Normal"/>
    <w:uiPriority w:val="99"/>
    <w:semiHidden/>
    <w:unhideWhenUsed/>
    <w:rsid w:val="00E939DD"/>
    <w:pPr>
      <w:spacing w:before="100" w:beforeAutospacing="1" w:after="100" w:afterAutospacing="1" w:line="240" w:lineRule="auto"/>
      <w:jc w:val="left"/>
    </w:pPr>
    <w:rPr>
      <w:rFonts w:eastAsia="Times New Roman"/>
      <w:szCs w:val="24"/>
    </w:rPr>
  </w:style>
  <w:style w:type="paragraph" w:styleId="BalloonText">
    <w:name w:val="Balloon Text"/>
    <w:basedOn w:val="Normal"/>
    <w:link w:val="BalloonTextChar"/>
    <w:uiPriority w:val="99"/>
    <w:semiHidden/>
    <w:unhideWhenUsed/>
    <w:rsid w:val="00E939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39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2263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ennepin.timberlakepublishing.com/Photos/1507_228152611.jp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hennepin.timberlakepublishing.com/Photos/1507_228152512.jpg" TargetMode="External"/><Relationship Id="rId11" Type="http://schemas.openxmlformats.org/officeDocument/2006/relationships/image" Target="media/image3.gif"/><Relationship Id="rId5" Type="http://schemas.openxmlformats.org/officeDocument/2006/relationships/webSettings" Target="webSettings.xml"/><Relationship Id="rId10" Type="http://schemas.openxmlformats.org/officeDocument/2006/relationships/hyperlink" Target="http://hennepin.timberlakepublishing.com/printarticle.asp?article=1507"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2464</Words>
  <Characters>14050</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Megerbyte</dc:creator>
  <cp:lastModifiedBy>Megerbyte</cp:lastModifiedBy>
  <cp:revision>1</cp:revision>
  <dcterms:created xsi:type="dcterms:W3CDTF">2011-11-06T12:23:00Z</dcterms:created>
  <dcterms:modified xsi:type="dcterms:W3CDTF">2011-11-06T12:24:00Z</dcterms:modified>
</cp:coreProperties>
</file>