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78A" w:rsidRPr="003E478A" w:rsidRDefault="003E478A" w:rsidP="003E478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3E47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NOMINEE?</w:t>
      </w:r>
      <w:proofErr w:type="gramEnd"/>
      <w:r w:rsidRPr="003E478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NO POWER NO AUTHORITY</w:t>
      </w:r>
    </w:p>
    <w:p w:rsidR="00FC635F" w:rsidRDefault="00FC635F" w:rsidP="003E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635F">
        <w:rPr>
          <w:rFonts w:ascii="Times New Roman" w:eastAsia="Times New Roman" w:hAnsi="Times New Roman" w:cs="Times New Roman"/>
          <w:sz w:val="24"/>
          <w:szCs w:val="24"/>
        </w:rPr>
        <w:t>http://timothymccandless.wordpress.com/2010/05/20/nominee-no-power-no-authority/</w:t>
      </w:r>
      <w:bookmarkStart w:id="0" w:name="_GoBack"/>
      <w:bookmarkEnd w:id="0"/>
    </w:p>
    <w:p w:rsidR="003E478A" w:rsidRPr="003E478A" w:rsidRDefault="003E478A" w:rsidP="003E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3E47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20 May </w:t>
        </w:r>
      </w:hyperlink>
    </w:p>
    <w:p w:rsidR="003E478A" w:rsidRPr="003E478A" w:rsidRDefault="003E478A" w:rsidP="003E4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478A">
        <w:rPr>
          <w:rFonts w:ascii="Times New Roman" w:eastAsia="Times New Roman" w:hAnsi="Times New Roman" w:cs="Times New Roman"/>
          <w:sz w:val="24"/>
          <w:szCs w:val="24"/>
        </w:rPr>
        <w:t>Posted on May 19, 2010 by Neil Garfield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There’s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more than one way to attack the prima facie case though—here’s a good example of a nice result from attacking the assignment…</w:t>
      </w:r>
    </w:p>
    <w:p w:rsidR="003E478A" w:rsidRPr="003E478A" w:rsidRDefault="003E478A" w:rsidP="003E4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478A">
        <w:rPr>
          <w:rFonts w:ascii="Times New Roman" w:eastAsia="Times New Roman" w:hAnsi="Times New Roman" w:cs="Times New Roman"/>
          <w:sz w:val="24"/>
          <w:szCs w:val="24"/>
        </w:rPr>
        <w:t>This NY decision lays out the legal reasoning for dismissing cases for problematic assignments:</w:t>
      </w:r>
    </w:p>
    <w:p w:rsidR="003E478A" w:rsidRPr="003E478A" w:rsidRDefault="003E478A" w:rsidP="003E4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478A">
        <w:rPr>
          <w:rFonts w:ascii="Times New Roman" w:eastAsia="Times New Roman" w:hAnsi="Times New Roman" w:cs="Times New Roman"/>
          <w:sz w:val="24"/>
          <w:szCs w:val="24"/>
        </w:rPr>
        <w:t>Decided on April 19, 2010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Supreme Court, Kings County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The Bank of New York, as trustee for the benefit of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Certificateholders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>, CWABS, Inc., Asset Backed Certificates, Series 2007-2, Plaintiff,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against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Sameeh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Alderazi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>, Bank of America, NA, New York City Environmental Control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Board, 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Plaintiff submits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anet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al</w:t>
      </w:r>
    </w:p>
    <w:p w:rsidR="003E478A" w:rsidRPr="003E478A" w:rsidRDefault="003E478A" w:rsidP="003E4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Upon reading the Affirmation of Linda P.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Manfredi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>, Esq., counsel for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Plaintiff, dated November 20, 2008, together with Plaintiff’s Memorandum of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Law, dated November 19th, 2008, together with the proposed Ex Parte Order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Appointing a Referee to Compute, and all exhibits annexed thereto,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application is denied without prejudice, with leave to renew upon providing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Court with proof of the grant of authority from the original mortgagee to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MERS specifically to act in its interest as related to the secured loan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which is the subject of this action.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Plaintiff seeks summary judgment to foreclose upon the property located at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639 East 91st Street, (Block 4751, Lot 31), in Kings County.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In order to establish prima facie entitlement to summary judgment in a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foreclosure action, a plaintiff must submit the mortgage and unpaid note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along with evidence of default. 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Capstone Business Credit, LLC v. Imperial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Family Realty, LLC, 70 AD3d 882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, 895 NYS2d 199 (2nd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Dept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2010).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The Second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Department has also required a showing that the mortgage was valid. 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Washington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Mut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Bank, FA v. Peak Health Club, Inc., 48 AD3d 793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, 853 NYS2d 112 (2nd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Dept.2008).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In this case, Defendant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Sameeh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Alderazi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borrowed $408,000.00 from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“America’s Wholesale Lender” on January 25, 2007. The mortgage was recorded in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Office of the City Register, New York City Department of Finance on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February 14, 2007. MERS was referred to in the mortgage as nominee of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mortgagee, America’s Wholesale Lender, for the purpose of recording the mortgage.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MERS purported to assign the mortgage to Plaintiff BANK OF NEW YORK on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</w:r>
      <w:r w:rsidRPr="003E478A">
        <w:rPr>
          <w:rFonts w:ascii="Times New Roman" w:eastAsia="Times New Roman" w:hAnsi="Times New Roman" w:cs="Times New Roman"/>
          <w:sz w:val="24"/>
          <w:szCs w:val="24"/>
        </w:rPr>
        <w:lastRenderedPageBreak/>
        <w:t>July 23, 2008. The assignment was recorded on September 19, 2008.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assignment was executed by “Keri Selman, Assistant Vice President of MERS, as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“authorized agent pursuant to Board of Resolutions and/or appointment”. However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no resolution nor other proof of authority was recorded with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assignment or submitted to the Court.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 party cannot foreclose on a mortgage without having title, giving it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standing to bring the action. (See Kluge v.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Fugazy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>, 145 AD2d 537, 538 (2nd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Dept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1988 ), holding that a “foreclosure of a mortgage may not be brought by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one who has no title to it and absent transfer of the debt, the assignment of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the mortgage is a nullity”. Katz v. East-Ville Realty Co., 249 AD2d 243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(1st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Dept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1998), holding that “[p]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laintiff’s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attempt to foreclose upon a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mortgage in which he had no legal or equitable interest was without foundation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in law or fact”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“To have a proper assignment of a mortgage by an authorized agent, a power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of attorney is necessary to demonstrate how the agent is vested with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authority to assign the mortgage.” [*2]HSBC BANK USA, NA v.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Yeasmin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, 19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Misc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3d 1127(A), 866 NYS2d 92 (Table) N.Y.Sup.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,2008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t>. “No special form or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language is necessary to effect an assignment as long as the language shows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intention of the owner of a right to transfer it”. Emphasis added, Id.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citing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Tawil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v. Finkelstein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Bruckman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Wohl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Most &amp; Rothman, 223 AD2d 52, 55 (1st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Dept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1996);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Suraleb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>, Inc. v. International Trade Club, Inc., 13 AD3d 612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(2nd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Dept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2004).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The claim in this case is that the mortgage was assigned by MERS, as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nominee, to the Plaintiff. However Plaintiff submits no evidence that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America’s Wholesale Lender authorized MERS to make the assignment. MERS submits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only its own statement that it is the nominee for America’s Wholesale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Lender, and that it has authority to effect an assignment on America’s Wholesale L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ender’s behalf.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The mortgage states that MERS is solely a nominee. The Plaintiff, in its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Memorandum of Law, admits that MERS is solely a nominee, acting in an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administrative capacity.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In its Memoranda, Plaintiff quotes the Court in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Schuh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Trading Co., v.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Commisioner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of Internal Revenue, 95 F.2d 404, 411 (7th Cir. 1938), which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defined a nominee as follows: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The word nominee ordinarily indicates one designated to act for another as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his representative in a rather limited sense. It is used sometimes to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signify an agent or trustee. It has no connotation, however, other than that of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acting for another, or as the grantee of another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Id. Emphasis added.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Black’s Law Dictionary defines a nominee as “[a] person designated to act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in place of another, usually in a very limited way”. Agency is a fiduciary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relationship which results from the manifestation of consent by one person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to another that the other shall act on his behalf and subject to his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control, and consent by the other so to act. 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Hatton v. Quad Realty Corp., 100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AD2d 609, 473 NYS2d 827, (2nd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Dept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1984).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“[A]n agent constituted for a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particular purpose, and under a limited and circumscribed power, cannot bind his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</w:r>
      <w:r w:rsidRPr="003E478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principal by an act beyond his authority.” Andrews v.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Kneeland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, 6 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Cow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354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N.Y.Sup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1826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MERS, as nominee, is an agent of the principal, for limited purposes, and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has only those powers which are conferred to it and authorized by its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principal.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In the mortgage in this case, MERS claims, as nominee, that it was granted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the right “(A) to exercise any or all of those rights, including, but not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limited to the right to foreclose and sell the Property, and (B) to take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any action required of the Lender including, but not limited to, releasing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and canceling this Security Instrument.” However, this language quoted by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MERS is found in the mortgage under the section “BORROWER’S TRANSFER TO LENDER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OF RIGHTS IN THE PROPERTY” and therefore is facially an acknowledgment by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the borrower. The fact that the borrower acknowledged and consented to MERS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acting as nominee of the lender has no bearing on what specific powers and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authority the lender granted MERS. The problem is not whether the borrower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can object to the assignees’ standing, but whether the original lender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who is not before the Court, actually transferred its rights to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Plaintiff. To allow a purported assignee to foreclosure in the absence of some proof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that the original lender authorized the assignment would throw into doubt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the validity of title of subsequent purchasers, should the original lender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challenge the assignment at some future date.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Furthermore, even accepting MERS’ position that the lender acknowledges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MERS’ authority exercise any or all of the lenders’ rights under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mortgage, the mortgage does not convey the specific right to assign the mortgage.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The only specific rights enumerated in the [*3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]mortgage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is the right to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foreclose and sell the Property. The general language “to take any action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required of the Lender including, but not limited to, releasing and canceling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this Security Instrument” is not sufficient to give the nominee authority to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alienate or assign a mortgage without getting the mortgagee’s explicit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authority for the particular assignment. Alienating a mortgage absent specific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authorization is not an administrative act.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Plaintiff submitted no other documents which purport to authorize MERS to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assign or otherwise convey the right of the mortgagor to assign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mortgage to another party.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 party who claims to be the agent of another bears the burden of proving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the agency relationship by a preponderance of the evidence,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Lippincot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v.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East River Mill &amp; Lumber Co., 79 Misc. 559, 141 NYS 220 (1913), and “[t]he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declarations of an alleged agent may not be shown for the purpose of proving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the fact of agency”. </w:t>
      </w:r>
      <w:proofErr w:type="spellStart"/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Lexow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&amp; Jenkins, P.C. v. Hertz Commercial Leasing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Corp., 122 AD2d 25, 504 NYS2d 192 (2nd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Dept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1986).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See also Siegel v. Kentucky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Fried Chicken of Long Island, Inc., 108 AD2d 218, 488 NYS2d 744 (2nd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Dept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1985), Moore v.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Leaseway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Transp. Corp., 65 AD2d 697, 409 NYS2d 746 (1st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Dept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1978). “The acts of a person assuming to be the representative of another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are not competent to prove the agency in the absence of evidence tending to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show the principal’s knowledge of such acts or assent to them”. </w:t>
      </w:r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(2 NY </w:t>
      </w:r>
      <w:proofErr w:type="spellStart"/>
      <w:r w:rsidRPr="003E478A">
        <w:rPr>
          <w:rFonts w:ascii="Times New Roman" w:eastAsia="Times New Roman" w:hAnsi="Times New Roman" w:cs="Times New Roman"/>
          <w:sz w:val="24"/>
          <w:szCs w:val="24"/>
        </w:rPr>
        <w:t>Jur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2d, Agency and Independent Contractors, 26).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br/>
      </w:r>
      <w:r w:rsidRPr="003E478A">
        <w:rPr>
          <w:rFonts w:ascii="Times New Roman" w:eastAsia="Times New Roman" w:hAnsi="Times New Roman" w:cs="Times New Roman"/>
          <w:sz w:val="24"/>
          <w:szCs w:val="24"/>
        </w:rPr>
        <w:lastRenderedPageBreak/>
        <w:t>Plaintiff has submitted no evidence to demonstrate that the original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lender, the mortgagee America’s Wholesale Lender, authorized MERS to assign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secured debt to Plaintiff.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Thus, Plaintiff has not made out a prima facie case that it is entitled to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 xml:space="preserve">foreclose on the mortgage in </w:t>
      </w:r>
      <w:proofErr w:type="spellStart"/>
      <w:proofErr w:type="gramStart"/>
      <w:r w:rsidRPr="003E478A">
        <w:rPr>
          <w:rFonts w:ascii="Times New Roman" w:eastAsia="Times New Roman" w:hAnsi="Times New Roman" w:cs="Times New Roman"/>
          <w:sz w:val="24"/>
          <w:szCs w:val="24"/>
        </w:rPr>
        <w:t>question.WHEREFORE</w:t>
      </w:r>
      <w:proofErr w:type="spellEnd"/>
      <w:r w:rsidRPr="003E478A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3E478A">
        <w:rPr>
          <w:rFonts w:ascii="Times New Roman" w:eastAsia="Times New Roman" w:hAnsi="Times New Roman" w:cs="Times New Roman"/>
          <w:sz w:val="24"/>
          <w:szCs w:val="24"/>
        </w:rPr>
        <w:t xml:space="preserve"> it is ORDERED that the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Plaintiff’s application for an Order appointing referee to compute amounts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due to the Plaintiff is denied with leave to renew upon proof of authority.</w:t>
      </w:r>
      <w:r w:rsidRPr="003E478A">
        <w:rPr>
          <w:rFonts w:ascii="Times New Roman" w:eastAsia="Times New Roman" w:hAnsi="Times New Roman" w:cs="Times New Roman"/>
          <w:sz w:val="24"/>
          <w:szCs w:val="24"/>
        </w:rPr>
        <w:br/>
        <w:t>This shall constitute the decision and order of this Court.</w:t>
      </w:r>
    </w:p>
    <w:p w:rsidR="00153830" w:rsidRDefault="00153830"/>
    <w:sectPr w:rsidR="00153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78A"/>
    <w:rsid w:val="00004432"/>
    <w:rsid w:val="00016CBE"/>
    <w:rsid w:val="00040E93"/>
    <w:rsid w:val="00074E41"/>
    <w:rsid w:val="0008269A"/>
    <w:rsid w:val="000919A8"/>
    <w:rsid w:val="0009242B"/>
    <w:rsid w:val="000A45EB"/>
    <w:rsid w:val="000B402E"/>
    <w:rsid w:val="000C1205"/>
    <w:rsid w:val="000D4D40"/>
    <w:rsid w:val="000E2731"/>
    <w:rsid w:val="00111FC0"/>
    <w:rsid w:val="00153830"/>
    <w:rsid w:val="001825D1"/>
    <w:rsid w:val="00193714"/>
    <w:rsid w:val="001B2554"/>
    <w:rsid w:val="001B7AAD"/>
    <w:rsid w:val="001E32BF"/>
    <w:rsid w:val="001E6BC1"/>
    <w:rsid w:val="002072A0"/>
    <w:rsid w:val="002142AA"/>
    <w:rsid w:val="00225559"/>
    <w:rsid w:val="00260DAB"/>
    <w:rsid w:val="00275FFC"/>
    <w:rsid w:val="002A4E76"/>
    <w:rsid w:val="002A6354"/>
    <w:rsid w:val="002D402B"/>
    <w:rsid w:val="002D590A"/>
    <w:rsid w:val="002E7ABC"/>
    <w:rsid w:val="0031659D"/>
    <w:rsid w:val="00330CE2"/>
    <w:rsid w:val="00357625"/>
    <w:rsid w:val="00380469"/>
    <w:rsid w:val="003B483B"/>
    <w:rsid w:val="003B57DC"/>
    <w:rsid w:val="003D6915"/>
    <w:rsid w:val="003E0BB6"/>
    <w:rsid w:val="003E478A"/>
    <w:rsid w:val="003F4228"/>
    <w:rsid w:val="003F67DD"/>
    <w:rsid w:val="003F6C6B"/>
    <w:rsid w:val="0044721B"/>
    <w:rsid w:val="00452A03"/>
    <w:rsid w:val="00454582"/>
    <w:rsid w:val="004623A7"/>
    <w:rsid w:val="00462BA6"/>
    <w:rsid w:val="00475677"/>
    <w:rsid w:val="00486EE4"/>
    <w:rsid w:val="004C1E23"/>
    <w:rsid w:val="004C54CC"/>
    <w:rsid w:val="004D6532"/>
    <w:rsid w:val="004E41AD"/>
    <w:rsid w:val="004E5D95"/>
    <w:rsid w:val="004E64F6"/>
    <w:rsid w:val="00552884"/>
    <w:rsid w:val="00562A59"/>
    <w:rsid w:val="00581307"/>
    <w:rsid w:val="005951A7"/>
    <w:rsid w:val="005A0BA7"/>
    <w:rsid w:val="005D5625"/>
    <w:rsid w:val="005E611E"/>
    <w:rsid w:val="005F5226"/>
    <w:rsid w:val="005F767E"/>
    <w:rsid w:val="00603D43"/>
    <w:rsid w:val="00604A75"/>
    <w:rsid w:val="0062043B"/>
    <w:rsid w:val="00636BD8"/>
    <w:rsid w:val="006442CB"/>
    <w:rsid w:val="006450CF"/>
    <w:rsid w:val="006756BD"/>
    <w:rsid w:val="00676942"/>
    <w:rsid w:val="006C1B0E"/>
    <w:rsid w:val="006C4265"/>
    <w:rsid w:val="00703FAC"/>
    <w:rsid w:val="00704901"/>
    <w:rsid w:val="0071424F"/>
    <w:rsid w:val="007262C7"/>
    <w:rsid w:val="00726400"/>
    <w:rsid w:val="00727EB1"/>
    <w:rsid w:val="007404BF"/>
    <w:rsid w:val="00765202"/>
    <w:rsid w:val="00774B44"/>
    <w:rsid w:val="007A2D41"/>
    <w:rsid w:val="007B298D"/>
    <w:rsid w:val="007B7A7F"/>
    <w:rsid w:val="007C120E"/>
    <w:rsid w:val="00816250"/>
    <w:rsid w:val="008409C8"/>
    <w:rsid w:val="00852F56"/>
    <w:rsid w:val="00865921"/>
    <w:rsid w:val="00866FFD"/>
    <w:rsid w:val="008A05AD"/>
    <w:rsid w:val="008B5591"/>
    <w:rsid w:val="008D022C"/>
    <w:rsid w:val="008D4F26"/>
    <w:rsid w:val="008D55BD"/>
    <w:rsid w:val="008E28C1"/>
    <w:rsid w:val="00934CB0"/>
    <w:rsid w:val="00982B65"/>
    <w:rsid w:val="009A3A27"/>
    <w:rsid w:val="009B22C6"/>
    <w:rsid w:val="009B33B9"/>
    <w:rsid w:val="009C2394"/>
    <w:rsid w:val="009D0A1F"/>
    <w:rsid w:val="009E2A69"/>
    <w:rsid w:val="009F346D"/>
    <w:rsid w:val="00A11024"/>
    <w:rsid w:val="00A354D0"/>
    <w:rsid w:val="00AF0A0A"/>
    <w:rsid w:val="00B03F85"/>
    <w:rsid w:val="00B177AD"/>
    <w:rsid w:val="00B17996"/>
    <w:rsid w:val="00B41D6F"/>
    <w:rsid w:val="00B5012E"/>
    <w:rsid w:val="00B573D4"/>
    <w:rsid w:val="00B73EA2"/>
    <w:rsid w:val="00B856CA"/>
    <w:rsid w:val="00B90BB7"/>
    <w:rsid w:val="00B96814"/>
    <w:rsid w:val="00B97DA6"/>
    <w:rsid w:val="00BB0431"/>
    <w:rsid w:val="00BB2717"/>
    <w:rsid w:val="00BE789C"/>
    <w:rsid w:val="00C17747"/>
    <w:rsid w:val="00C36A0E"/>
    <w:rsid w:val="00C47455"/>
    <w:rsid w:val="00C87BB5"/>
    <w:rsid w:val="00CB44DC"/>
    <w:rsid w:val="00CD30B0"/>
    <w:rsid w:val="00CF7603"/>
    <w:rsid w:val="00D540C7"/>
    <w:rsid w:val="00D5686B"/>
    <w:rsid w:val="00D713D5"/>
    <w:rsid w:val="00D71B00"/>
    <w:rsid w:val="00DA0FCF"/>
    <w:rsid w:val="00DA64AF"/>
    <w:rsid w:val="00DC2DDB"/>
    <w:rsid w:val="00DD3A1F"/>
    <w:rsid w:val="00E3299C"/>
    <w:rsid w:val="00E43CBE"/>
    <w:rsid w:val="00E5538D"/>
    <w:rsid w:val="00E7009A"/>
    <w:rsid w:val="00E866AF"/>
    <w:rsid w:val="00EA16BF"/>
    <w:rsid w:val="00EA6A92"/>
    <w:rsid w:val="00EB29F7"/>
    <w:rsid w:val="00EB5C87"/>
    <w:rsid w:val="00EC606A"/>
    <w:rsid w:val="00ED05CB"/>
    <w:rsid w:val="00EE3FF6"/>
    <w:rsid w:val="00EF4BC6"/>
    <w:rsid w:val="00F21EA3"/>
    <w:rsid w:val="00F22D07"/>
    <w:rsid w:val="00F349AD"/>
    <w:rsid w:val="00F35CAC"/>
    <w:rsid w:val="00F51A95"/>
    <w:rsid w:val="00FB4044"/>
    <w:rsid w:val="00FC5A6C"/>
    <w:rsid w:val="00FC635F"/>
    <w:rsid w:val="00FC7665"/>
    <w:rsid w:val="00FD2C7F"/>
    <w:rsid w:val="00FE35B1"/>
    <w:rsid w:val="00FF25B0"/>
    <w:rsid w:val="00FF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E47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7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3E478A"/>
    <w:rPr>
      <w:color w:val="0000FF"/>
      <w:u w:val="single"/>
    </w:rPr>
  </w:style>
  <w:style w:type="character" w:customStyle="1" w:styleId="day">
    <w:name w:val="day"/>
    <w:basedOn w:val="DefaultParagraphFont"/>
    <w:rsid w:val="003E478A"/>
  </w:style>
  <w:style w:type="character" w:customStyle="1" w:styleId="month">
    <w:name w:val="month"/>
    <w:basedOn w:val="DefaultParagraphFont"/>
    <w:rsid w:val="003E478A"/>
  </w:style>
  <w:style w:type="paragraph" w:styleId="NormalWeb">
    <w:name w:val="Normal (Web)"/>
    <w:basedOn w:val="Normal"/>
    <w:uiPriority w:val="99"/>
    <w:semiHidden/>
    <w:unhideWhenUsed/>
    <w:rsid w:val="003E4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E47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7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3E478A"/>
    <w:rPr>
      <w:color w:val="0000FF"/>
      <w:u w:val="single"/>
    </w:rPr>
  </w:style>
  <w:style w:type="character" w:customStyle="1" w:styleId="day">
    <w:name w:val="day"/>
    <w:basedOn w:val="DefaultParagraphFont"/>
    <w:rsid w:val="003E478A"/>
  </w:style>
  <w:style w:type="character" w:customStyle="1" w:styleId="month">
    <w:name w:val="month"/>
    <w:basedOn w:val="DefaultParagraphFont"/>
    <w:rsid w:val="003E478A"/>
  </w:style>
  <w:style w:type="paragraph" w:styleId="NormalWeb">
    <w:name w:val="Normal (Web)"/>
    <w:basedOn w:val="Normal"/>
    <w:uiPriority w:val="99"/>
    <w:semiHidden/>
    <w:unhideWhenUsed/>
    <w:rsid w:val="003E4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imothymccandless.wordpress.com/2010/05/20/nominee-no-power-no-authorit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1364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megerbyte</dc:creator>
  <cp:lastModifiedBy>megerbyte</cp:lastModifiedBy>
  <cp:revision>2</cp:revision>
  <dcterms:created xsi:type="dcterms:W3CDTF">2012-06-17T20:30:00Z</dcterms:created>
  <dcterms:modified xsi:type="dcterms:W3CDTF">2012-06-17T20:31:00Z</dcterms:modified>
</cp:coreProperties>
</file>