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95B86" w:rsidRDefault="008D5D4B">
      <w:r>
        <w:t>Equitable estoppels</w:t>
      </w:r>
    </w:p>
    <w:p w:rsidR="008D5D4B" w:rsidRDefault="008D5D4B"/>
    <w:p w:rsidR="008D5D4B" w:rsidRDefault="008D5D4B">
      <w:pPr>
        <w:rPr>
          <w:b/>
          <w:bCs/>
        </w:rPr>
      </w:pPr>
      <w:r>
        <w:t xml:space="preserve">"Historically, </w:t>
      </w:r>
      <w:proofErr w:type="spellStart"/>
      <w:r>
        <w:t>estoppel</w:t>
      </w:r>
      <w:proofErr w:type="spellEnd"/>
      <w:r>
        <w:t xml:space="preserve"> was administered by the equity chancellor; its function was justice and good conscience; it was evoked by motives of equity and fair dealing in order to prevent the inequitable enforcement of other rules of law. (3 Pomeroy's Equity Jurisprudence (5th ed.) § 802, pp. 180-181.) </w:t>
      </w:r>
      <w:r>
        <w:rPr>
          <w:rStyle w:val="term"/>
        </w:rPr>
        <w:t xml:space="preserve">Equitable </w:t>
      </w:r>
      <w:proofErr w:type="spellStart"/>
      <w:r>
        <w:rPr>
          <w:rStyle w:val="term"/>
        </w:rPr>
        <w:t>estoppel</w:t>
      </w:r>
      <w:proofErr w:type="spellEnd"/>
      <w:r>
        <w:t xml:space="preserve"> bespeaks a thirst for individualized justice, obedient to general doctrine but relatively free of servitude to fixed verbalisms. In the evolutionary dynamics of California environmental law, the plasticity of </w:t>
      </w:r>
      <w:r>
        <w:rPr>
          <w:rStyle w:val="term"/>
        </w:rPr>
        <w:t xml:space="preserve">equitable </w:t>
      </w:r>
      <w:proofErr w:type="spellStart"/>
      <w:r>
        <w:rPr>
          <w:rStyle w:val="term"/>
        </w:rPr>
        <w:t>estoppel</w:t>
      </w:r>
      <w:proofErr w:type="spellEnd"/>
      <w:r>
        <w:t xml:space="preserve"> has been replaced by the rigidity of the vested rights rule. Doctrinal evolution has come full circle -- from the formal, unmoral rigidities of medieval common law to the individualized </w:t>
      </w:r>
      <w:bookmarkStart w:id="0" w:name="7775-28"/>
      <w:r>
        <w:rPr>
          <w:rStyle w:val="pmterms2"/>
        </w:rPr>
        <w:t>[*28]</w:t>
      </w:r>
      <w:bookmarkEnd w:id="0"/>
      <w:r>
        <w:t>  humanity of equity and back again to the fixed demands of the vested rights rule.</w:t>
      </w:r>
      <w:r>
        <w:br/>
      </w:r>
      <w:r>
        <w:br/>
      </w:r>
      <w:hyperlink r:id="rId4" w:history="1">
        <w:proofErr w:type="spellStart"/>
        <w:proofErr w:type="gramStart"/>
        <w:r>
          <w:rPr>
            <w:rStyle w:val="Hyperlink"/>
          </w:rPr>
          <w:t>Raley</w:t>
        </w:r>
        <w:proofErr w:type="spellEnd"/>
        <w:r>
          <w:rPr>
            <w:rStyle w:val="Hyperlink"/>
          </w:rPr>
          <w:t xml:space="preserve"> v. Calif. Tahoe Regional Planning Agency, 68 Cal.App.3d 965, 984-985, 137 </w:t>
        </w:r>
        <w:proofErr w:type="spellStart"/>
        <w:r>
          <w:rPr>
            <w:rStyle w:val="Hyperlink"/>
          </w:rPr>
          <w:t>Cal.Rptr</w:t>
        </w:r>
        <w:proofErr w:type="spellEnd"/>
        <w:r>
          <w:rPr>
            <w:rStyle w:val="Hyperlink"/>
          </w:rPr>
          <w:t>.</w:t>
        </w:r>
        <w:proofErr w:type="gramEnd"/>
        <w:r>
          <w:rPr>
            <w:rStyle w:val="Hyperlink"/>
          </w:rPr>
          <w:t xml:space="preserve"> 699 (1977)</w:t>
        </w:r>
      </w:hyperlink>
      <w:r>
        <w:t xml:space="preserve"> </w:t>
      </w:r>
      <w:proofErr w:type="spellStart"/>
      <w:r>
        <w:t>fFourth</w:t>
      </w:r>
      <w:proofErr w:type="spellEnd"/>
      <w:r>
        <w:t xml:space="preserve">, this Court's decision that the </w:t>
      </w:r>
      <w:proofErr w:type="spellStart"/>
      <w:r>
        <w:t>Teren</w:t>
      </w:r>
      <w:proofErr w:type="spellEnd"/>
      <w:r>
        <w:t xml:space="preserve"> Trust and Trustee is not entitled to a premium refund </w:t>
      </w:r>
      <w:bookmarkStart w:id="1" w:name="7795-66"/>
      <w:r>
        <w:rPr>
          <w:rStyle w:val="pmterms2"/>
        </w:rPr>
        <w:t>[*66]</w:t>
      </w:r>
      <w:bookmarkEnd w:id="1"/>
      <w:proofErr w:type="gramStart"/>
      <w:r>
        <w:t>  on</w:t>
      </w:r>
      <w:proofErr w:type="gramEnd"/>
      <w:r>
        <w:t xml:space="preserve"> the </w:t>
      </w:r>
      <w:proofErr w:type="spellStart"/>
      <w:r>
        <w:t>Teren</w:t>
      </w:r>
      <w:proofErr w:type="spellEnd"/>
      <w:r>
        <w:t xml:space="preserve"> Policies is warranted by the equitable principle that a wrongdoer cannot be allowed to take advantage of his own wrong. </w:t>
      </w:r>
      <w:r>
        <w:rPr>
          <w:i/>
          <w:iCs/>
        </w:rPr>
        <w:t>See</w:t>
      </w:r>
      <w:r>
        <w:t xml:space="preserve"> California Civil Code § 3517 ("[n]o one can take advantage of his own wrong"); </w:t>
      </w:r>
      <w:hyperlink r:id="rId5" w:history="1">
        <w:r>
          <w:rPr>
            <w:rStyle w:val="Hyperlink"/>
            <w:i/>
            <w:iCs/>
          </w:rPr>
          <w:t xml:space="preserve">Atwater Elementary Sch. Dist. v. California Dept. of Social </w:t>
        </w:r>
        <w:proofErr w:type="spellStart"/>
        <w:r>
          <w:rPr>
            <w:rStyle w:val="Hyperlink"/>
            <w:i/>
            <w:iCs/>
          </w:rPr>
          <w:t>Servs</w:t>
        </w:r>
        <w:proofErr w:type="spellEnd"/>
        <w:r>
          <w:rPr>
            <w:rStyle w:val="Hyperlink"/>
            <w:i/>
            <w:iCs/>
          </w:rPr>
          <w:t>.,</w:t>
        </w:r>
        <w:r>
          <w:rPr>
            <w:rStyle w:val="Hyperlink"/>
          </w:rPr>
          <w:t xml:space="preserve"> 41 Cal. 4th 227,232-33 (2007)</w:t>
        </w:r>
      </w:hyperlink>
      <w:r>
        <w:t xml:space="preserve"> (recognizing </w:t>
      </w:r>
      <w:r>
        <w:rPr>
          <w:rStyle w:val="term"/>
        </w:rPr>
        <w:t xml:space="preserve">equitable </w:t>
      </w:r>
      <w:proofErr w:type="spellStart"/>
      <w:r>
        <w:rPr>
          <w:rStyle w:val="term"/>
        </w:rPr>
        <w:t>estoppel</w:t>
      </w:r>
      <w:proofErr w:type="spellEnd"/>
      <w:r>
        <w:t xml:space="preserve"> based upon the "equitable principle that no man (may) profit from his own wrongdoing in a court of justice").</w:t>
      </w:r>
      <w:r>
        <w:rPr>
          <w:b/>
          <w:bCs/>
        </w:rPr>
        <w:t>New Stream Ins. v. PHL Variable Ins. Co., 2010 U.S. 8th Cir. Briefs 1696</w:t>
      </w:r>
    </w:p>
    <w:p w:rsidR="008D5D4B" w:rsidRDefault="008D5D4B">
      <w:pPr>
        <w:rPr>
          <w:b/>
          <w:bCs/>
        </w:rPr>
      </w:pPr>
    </w:p>
    <w:p w:rsidR="008D5D4B" w:rsidRDefault="003A4FDC">
      <w:pPr>
        <w:rPr>
          <w:b/>
          <w:bCs/>
        </w:rPr>
      </w:pPr>
      <w:r>
        <w:rPr>
          <w:rStyle w:val="term"/>
          <w:b/>
          <w:bCs/>
        </w:rPr>
        <w:t>Equitable</w:t>
      </w:r>
      <w:r>
        <w:rPr>
          <w:b/>
          <w:bCs/>
        </w:rPr>
        <w:t xml:space="preserve"> </w:t>
      </w:r>
      <w:proofErr w:type="spellStart"/>
      <w:r>
        <w:rPr>
          <w:b/>
          <w:bCs/>
        </w:rPr>
        <w:t>estoppel</w:t>
      </w:r>
      <w:proofErr w:type="spellEnd"/>
      <w:r>
        <w:rPr>
          <w:b/>
          <w:bCs/>
        </w:rPr>
        <w:t xml:space="preserve"> and </w:t>
      </w:r>
      <w:proofErr w:type="spellStart"/>
      <w:r>
        <w:rPr>
          <w:b/>
          <w:bCs/>
        </w:rPr>
        <w:t>laches</w:t>
      </w:r>
      <w:proofErr w:type="spellEnd"/>
      <w:r>
        <w:rPr>
          <w:b/>
          <w:bCs/>
        </w:rPr>
        <w:t xml:space="preserve"> do not bar the United States from seeking relief under Rule 60.</w:t>
      </w:r>
      <w:r>
        <w:br/>
      </w:r>
      <w:r>
        <w:br/>
      </w:r>
      <w:proofErr w:type="spellStart"/>
      <w:r>
        <w:t>Mosbruckers</w:t>
      </w:r>
      <w:proofErr w:type="spellEnd"/>
      <w:r>
        <w:t xml:space="preserve"> also argue that equitable doctrines such as </w:t>
      </w:r>
      <w:proofErr w:type="spellStart"/>
      <w:r>
        <w:t>estoppel</w:t>
      </w:r>
      <w:proofErr w:type="spellEnd"/>
      <w:r>
        <w:t xml:space="preserve"> and </w:t>
      </w:r>
      <w:proofErr w:type="spellStart"/>
      <w:r>
        <w:t>laches</w:t>
      </w:r>
      <w:proofErr w:type="spellEnd"/>
      <w:r>
        <w:t xml:space="preserve"> bar relief under Rule 60 to correct the mistake in the Judgment. The doctrine of </w:t>
      </w:r>
      <w:proofErr w:type="spellStart"/>
      <w:r>
        <w:t>laches</w:t>
      </w:r>
      <w:proofErr w:type="spellEnd"/>
      <w:r>
        <w:t xml:space="preserve"> does not apply to actions brought by the United States, and the doctrine of </w:t>
      </w:r>
      <w:r>
        <w:rPr>
          <w:rStyle w:val="term"/>
        </w:rPr>
        <w:t xml:space="preserve">equitable </w:t>
      </w:r>
      <w:proofErr w:type="spellStart"/>
      <w:r>
        <w:rPr>
          <w:rStyle w:val="term"/>
        </w:rPr>
        <w:t>estoppel</w:t>
      </w:r>
      <w:proofErr w:type="spellEnd"/>
      <w:r>
        <w:t xml:space="preserve"> applies only in very rare cases. </w:t>
      </w:r>
      <w:hyperlink r:id="rId6" w:history="1">
        <w:proofErr w:type="spellStart"/>
        <w:r>
          <w:rPr>
            <w:rStyle w:val="Hyperlink"/>
          </w:rPr>
          <w:t>Bostwick</w:t>
        </w:r>
        <w:proofErr w:type="spellEnd"/>
        <w:r>
          <w:rPr>
            <w:rStyle w:val="Hyperlink"/>
          </w:rPr>
          <w:t xml:space="preserve"> Irrigation Dist. v. United States, 900 F.2d 1285, 1291 (8th Cir. 1990);</w:t>
        </w:r>
      </w:hyperlink>
      <w:r>
        <w:t> </w:t>
      </w:r>
      <w:bookmarkStart w:id="2" w:name="7795-55"/>
      <w:r>
        <w:rPr>
          <w:rStyle w:val="pmterms2"/>
        </w:rPr>
        <w:t>[*55]</w:t>
      </w:r>
      <w:bookmarkEnd w:id="2"/>
      <w:r>
        <w:t xml:space="preserve">  </w:t>
      </w:r>
      <w:hyperlink r:id="rId7" w:history="1">
        <w:r>
          <w:rPr>
            <w:rStyle w:val="Hyperlink"/>
          </w:rPr>
          <w:t xml:space="preserve">Heckler v. Community Health </w:t>
        </w:r>
        <w:proofErr w:type="spellStart"/>
        <w:r>
          <w:rPr>
            <w:rStyle w:val="Hyperlink"/>
          </w:rPr>
          <w:t>Servs</w:t>
        </w:r>
        <w:proofErr w:type="spellEnd"/>
        <w:r>
          <w:rPr>
            <w:rStyle w:val="Hyperlink"/>
          </w:rPr>
          <w:t>. of Crawford County Inc., 467 U.S. 51, 60 (1984);</w:t>
        </w:r>
      </w:hyperlink>
      <w:r>
        <w:t xml:space="preserve"> </w:t>
      </w:r>
      <w:hyperlink r:id="rId8" w:history="1">
        <w:r>
          <w:rPr>
            <w:rStyle w:val="Hyperlink"/>
          </w:rPr>
          <w:t>Office of Personnel Management v. Richmond, 496 U.S. 414, 425-428 (1990).</w:t>
        </w:r>
      </w:hyperlink>
      <w:r>
        <w:t xml:space="preserve"> Further, these arguments are grounded in equity. </w:t>
      </w:r>
      <w:hyperlink r:id="rId9" w:history="1">
        <w:r>
          <w:rPr>
            <w:rStyle w:val="Hyperlink"/>
          </w:rPr>
          <w:t>New Hampshire v. Maine, 532 U.S. 742, 750 (2001);</w:t>
        </w:r>
      </w:hyperlink>
      <w:r>
        <w:t xml:space="preserve"> </w:t>
      </w:r>
      <w:hyperlink r:id="rId10" w:history="1">
        <w:r>
          <w:rPr>
            <w:rStyle w:val="Hyperlink"/>
          </w:rPr>
          <w:t>Whitfield v. Anheuser-Busch, Inc., 820 F.2d 243, 244-45 (8th Cir. 1987).</w:t>
        </w:r>
      </w:hyperlink>
      <w:r>
        <w:t xml:space="preserve"> A rationale weighing of the equities in this case obviously lead to the District Court's conclusion that the United State should receive the relief it requested and/or that </w:t>
      </w:r>
      <w:proofErr w:type="spellStart"/>
      <w:r>
        <w:t>Mosbruckers</w:t>
      </w:r>
      <w:proofErr w:type="spellEnd"/>
      <w:r>
        <w:t xml:space="preserve"> would be unjustly enriched by being allowed to retain an interest in the 30 acre strip of land. For the reasons discussed within this brief, the United States submits that correction of the Judgment was in the best interests of justice, and the District Court did not abuse its discretion in granting it. See supra § II.</w:t>
      </w:r>
      <w:r w:rsidRPr="003A4FDC">
        <w:rPr>
          <w:b/>
          <w:bCs/>
        </w:rPr>
        <w:t xml:space="preserve"> </w:t>
      </w:r>
      <w:r>
        <w:rPr>
          <w:b/>
          <w:bCs/>
        </w:rPr>
        <w:t>UNITED STATES v. MOSBRUCKER, 2002 U.S. 8th Cir. Briefs 2985</w:t>
      </w:r>
    </w:p>
    <w:p w:rsidR="003A4FDC" w:rsidRDefault="003A4FDC">
      <w:pPr>
        <w:rPr>
          <w:b/>
          <w:bCs/>
        </w:rPr>
      </w:pPr>
    </w:p>
    <w:p w:rsidR="003A4FDC" w:rsidRDefault="003A4FDC"/>
    <w:sectPr w:rsidR="003A4FDC" w:rsidSect="00E320B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95"/>
  <w:proofState w:spelling="clean" w:grammar="clean"/>
  <w:defaultTabStop w:val="720"/>
  <w:characterSpacingControl w:val="doNotCompress"/>
  <w:compat/>
  <w:rsids>
    <w:rsidRoot w:val="008D5D4B"/>
    <w:rsid w:val="000852E1"/>
    <w:rsid w:val="00357036"/>
    <w:rsid w:val="003A4FDC"/>
    <w:rsid w:val="00837253"/>
    <w:rsid w:val="0084787D"/>
    <w:rsid w:val="008D5D4B"/>
    <w:rsid w:val="00BC576F"/>
    <w:rsid w:val="00E320B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20B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erm">
    <w:name w:val="term"/>
    <w:basedOn w:val="DefaultParagraphFont"/>
    <w:rsid w:val="008D5D4B"/>
  </w:style>
  <w:style w:type="character" w:customStyle="1" w:styleId="pmterms2">
    <w:name w:val="pmterms2"/>
    <w:basedOn w:val="DefaultParagraphFont"/>
    <w:rsid w:val="008D5D4B"/>
  </w:style>
  <w:style w:type="character" w:styleId="Hyperlink">
    <w:name w:val="Hyperlink"/>
    <w:basedOn w:val="DefaultParagraphFont"/>
    <w:uiPriority w:val="99"/>
    <w:semiHidden/>
    <w:unhideWhenUsed/>
    <w:rsid w:val="008D5D4B"/>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lexis.com/research/buttonTFLink?_m=baa966a775aba345e9d2961d4b6f660f&amp;_xfercite=%3ccite%20cc%3d%22USA%22%3e%3c%21%5bCDATA%5b2002%20U.S.%208th%20Cir.%20Briefs%202985%5d%5d%3e%3c%2fcite%3e&amp;_butType=3&amp;_butStat=2&amp;_butNum=62&amp;_butInline=1&amp;_butinfo=%3ccite%20cc%3d%22USA%22%3e%3c%21%5bCDATA%5b496%20U.S.%20414%2cat%20425%5d%5d%3e%3c%2fcite%3e&amp;_fmtstr=FULL&amp;docnum=18&amp;_startdoc=1&amp;wchp=dGLbVlz-zSkAW&amp;_md5=1dfc2f2dece3ab19517a9191e0fbc456" TargetMode="External"/><Relationship Id="rId3" Type="http://schemas.openxmlformats.org/officeDocument/2006/relationships/webSettings" Target="webSettings.xml"/><Relationship Id="rId7" Type="http://schemas.openxmlformats.org/officeDocument/2006/relationships/hyperlink" Target="https://www.lexis.com/research/buttonTFLink?_m=baa966a775aba345e9d2961d4b6f660f&amp;_xfercite=%3ccite%20cc%3d%22USA%22%3e%3c%21%5bCDATA%5b2002%20U.S.%208th%20Cir.%20Briefs%202985%5d%5d%3e%3c%2fcite%3e&amp;_butType=3&amp;_butStat=2&amp;_butNum=61&amp;_butInline=1&amp;_butinfo=%3ccite%20cc%3d%22USA%22%3e%3c%21%5bCDATA%5b467%20U.S.%2051%2cat%2060%5d%5d%3e%3c%2fcite%3e&amp;_fmtstr=FULL&amp;docnum=18&amp;_startdoc=1&amp;wchp=dGLbVlz-zSkAW&amp;_md5=beec3f762b66577f727c44297ee68ef5"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lexis.com/research/buttonTFLink?_m=baa966a775aba345e9d2961d4b6f660f&amp;_xfercite=%3ccite%20cc%3d%22USA%22%3e%3c%21%5bCDATA%5b2002%20U.S.%208th%20Cir.%20Briefs%202985%5d%5d%3e%3c%2fcite%3e&amp;_butType=3&amp;_butStat=2&amp;_butNum=60&amp;_butInline=1&amp;_butinfo=%3ccite%20cc%3d%22USA%22%3e%3c%21%5bCDATA%5b900%20F.2d%201285%2cat%201291%5d%5d%3e%3c%2fcite%3e&amp;_fmtstr=FULL&amp;docnum=18&amp;_startdoc=1&amp;wchp=dGLbVlz-zSkAW&amp;_md5=c922c1f3f933bcccbd8ff07e0367c04b" TargetMode="External"/><Relationship Id="rId11" Type="http://schemas.openxmlformats.org/officeDocument/2006/relationships/fontTable" Target="fontTable.xml"/><Relationship Id="rId5" Type="http://schemas.openxmlformats.org/officeDocument/2006/relationships/hyperlink" Target="https://www.lexis.com/research/buttonTFLink?_m=727786424d70b49cfadedd4620ffddcc&amp;_xfercite=%3ccite%20cc%3d%22USA%22%3e%3c%21%5bCDATA%5b2010%20U.S.%208th%20Cir.%20Briefs%201696%5d%5d%3e%3c%2fcite%3e&amp;_butType=3&amp;_butStat=2&amp;_butNum=70&amp;_butInline=1&amp;_butinfo=%3ccite%20cc%3d%22USA%22%3e%3c%21%5bCDATA%5b41%20Cal.%204th%20227232%5d%5d%3e%3c%2fcite%3e&amp;_fmtstr=FULL&amp;docnum=6&amp;_startdoc=1&amp;wchp=dGLbVlz-zSkAW&amp;_md5=8b37da57943c8aa1fb264819034a5491" TargetMode="External"/><Relationship Id="rId10" Type="http://schemas.openxmlformats.org/officeDocument/2006/relationships/hyperlink" Target="https://www.lexis.com/research/buttonTFLink?_m=baa966a775aba345e9d2961d4b6f660f&amp;_xfercite=%3ccite%20cc%3d%22USA%22%3e%3c%21%5bCDATA%5b2002%20U.S.%208th%20Cir.%20Briefs%202985%5d%5d%3e%3c%2fcite%3e&amp;_butType=3&amp;_butStat=2&amp;_butNum=64&amp;_butInline=1&amp;_butinfo=%3ccite%20cc%3d%22USA%22%3e%3c%21%5bCDATA%5b820%20F.2d%20243%2cat%20244%5d%5d%3e%3c%2fcite%3e&amp;_fmtstr=FULL&amp;docnum=18&amp;_startdoc=1&amp;wchp=dGLbVlz-zSkAW&amp;_md5=698e2d2736c56c2549d53ab1dc1ec2c0" TargetMode="External"/><Relationship Id="rId4" Type="http://schemas.openxmlformats.org/officeDocument/2006/relationships/hyperlink" Target="https://www.lexis.com/research/buttonTFLink?_m=0149b1fad6d9cce4b6f0dc3de08c4b82&amp;_xfercite=%3ccite%20cc%3d%22USA%22%3e%3c%21%5bCDATA%5b1979%20U.S.%20Briefs%20602%5d%5d%3e%3c%2fcite%3e&amp;_butType=3&amp;_butStat=2&amp;_butNum=44&amp;_butInline=1&amp;_butinfo=%3ccite%20cc%3d%22USA%22%3e%3c%21%5bCDATA%5b68%20Cal.%20App.%203d%20965%2cat%20984%5d%5d%3e%3c%2fcite%3e&amp;_fmtstr=FULL&amp;docnum=5&amp;_startdoc=1&amp;wchp=dGLbVlz-zSkAW&amp;_md5=fd7e6d734537093b93ad0b2c209258b6" TargetMode="External"/><Relationship Id="rId9" Type="http://schemas.openxmlformats.org/officeDocument/2006/relationships/hyperlink" Target="https://www.lexis.com/research/buttonTFLink?_m=baa966a775aba345e9d2961d4b6f660f&amp;_xfercite=%3ccite%20cc%3d%22USA%22%3e%3c%21%5bCDATA%5b2002%20U.S.%208th%20Cir.%20Briefs%202985%5d%5d%3e%3c%2fcite%3e&amp;_butType=3&amp;_butStat=2&amp;_butNum=63&amp;_butInline=1&amp;_butinfo=%3ccite%20cc%3d%22USA%22%3e%3c%21%5bCDATA%5b532%20U.S.%20742%2cat%20750%5d%5d%3e%3c%2fcite%3e&amp;_fmtstr=FULL&amp;docnum=18&amp;_startdoc=1&amp;wchp=dGLbVlz-zSkAW&amp;_md5=189e2b6815c06b6963d7f319c38f68a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1</Pages>
  <Words>914</Words>
  <Characters>5211</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6113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Megerbyte</dc:creator>
  <cp:lastModifiedBy>Megerbyte</cp:lastModifiedBy>
  <cp:revision>1</cp:revision>
  <dcterms:created xsi:type="dcterms:W3CDTF">2010-10-12T19:33:00Z</dcterms:created>
  <dcterms:modified xsi:type="dcterms:W3CDTF">2010-10-12T20:10:00Z</dcterms:modified>
</cp:coreProperties>
</file>