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28FD" w:rsidRDefault="009528FD" w:rsidP="009528FD">
      <w:pPr>
        <w:pStyle w:val="NormalWeb"/>
        <w:jc w:val="center"/>
        <w:rPr>
          <w:color w:val="000000"/>
        </w:rPr>
      </w:pPr>
      <w:r>
        <w:rPr>
          <w:b/>
          <w:bCs/>
          <w:color w:val="000000"/>
        </w:rPr>
        <w:t xml:space="preserve">IN THE CIRCUIT COURT OF THE SIXTH JUDICIAL CIRCUIT, </w:t>
      </w:r>
    </w:p>
    <w:p w:rsidR="009528FD" w:rsidRDefault="009528FD" w:rsidP="009528FD">
      <w:pPr>
        <w:pStyle w:val="NormalWeb"/>
        <w:jc w:val="center"/>
        <w:rPr>
          <w:color w:val="000000"/>
        </w:rPr>
      </w:pPr>
      <w:r>
        <w:rPr>
          <w:b/>
          <w:bCs/>
          <w:color w:val="000000"/>
        </w:rPr>
        <w:t>IN AND FOR PINELLAS COUNTY, FLORIDA</w:t>
      </w:r>
    </w:p>
    <w:p w:rsidR="009528FD" w:rsidRDefault="009528FD" w:rsidP="009528FD">
      <w:pPr>
        <w:pStyle w:val="NormalWeb"/>
        <w:jc w:val="center"/>
        <w:rPr>
          <w:color w:val="000000"/>
        </w:rPr>
      </w:pPr>
      <w:r>
        <w:rPr>
          <w:b/>
          <w:bCs/>
          <w:color w:val="000000"/>
        </w:rPr>
        <w:t>CIVIL DIVISION</w:t>
      </w:r>
    </w:p>
    <w:p w:rsidR="009528FD" w:rsidRDefault="009528FD" w:rsidP="009528FD">
      <w:pPr>
        <w:pStyle w:val="NormalWeb"/>
        <w:rPr>
          <w:b/>
          <w:bCs/>
          <w:color w:val="000000"/>
        </w:rPr>
      </w:pPr>
    </w:p>
    <w:p w:rsidR="009528FD" w:rsidRDefault="009528FD" w:rsidP="009528FD">
      <w:pPr>
        <w:pStyle w:val="NormalWeb"/>
        <w:jc w:val="both"/>
        <w:rPr>
          <w:color w:val="000000"/>
        </w:rPr>
      </w:pPr>
      <w:r>
        <w:rPr>
          <w:b/>
          <w:bCs/>
          <w:color w:val="000000"/>
        </w:rPr>
        <w:t>HSBC BANK, USA, NATIONAL ASSOCATION,</w:t>
      </w:r>
      <w:r w:rsidRPr="00AE0CAD">
        <w:rPr>
          <w:b/>
          <w:bCs/>
          <w:color w:val="000000"/>
        </w:rPr>
        <w:t xml:space="preserve"> </w:t>
      </w:r>
      <w:r>
        <w:rPr>
          <w:b/>
          <w:bCs/>
          <w:color w:val="000000"/>
        </w:rPr>
        <w:t xml:space="preserve">        CASE NO. 52-2009-CA-005696-WS</w:t>
      </w:r>
    </w:p>
    <w:p w:rsidR="009528FD" w:rsidRPr="00E335A6" w:rsidRDefault="009528FD" w:rsidP="009528FD">
      <w:pPr>
        <w:pStyle w:val="NormalWeb"/>
        <w:jc w:val="both"/>
        <w:rPr>
          <w:b/>
          <w:caps/>
          <w:color w:val="000000"/>
        </w:rPr>
      </w:pPr>
      <w:r w:rsidRPr="00E335A6">
        <w:rPr>
          <w:b/>
          <w:caps/>
          <w:color w:val="000000"/>
        </w:rPr>
        <w:t xml:space="preserve">As trustee for the ace securities </w:t>
      </w:r>
    </w:p>
    <w:p w:rsidR="009528FD" w:rsidRPr="00E335A6" w:rsidRDefault="009528FD" w:rsidP="009528FD">
      <w:pPr>
        <w:pStyle w:val="NormalWeb"/>
        <w:jc w:val="both"/>
        <w:rPr>
          <w:b/>
          <w:caps/>
          <w:color w:val="000000"/>
        </w:rPr>
      </w:pPr>
      <w:r w:rsidRPr="00E335A6">
        <w:rPr>
          <w:b/>
          <w:caps/>
          <w:color w:val="000000"/>
        </w:rPr>
        <w:t xml:space="preserve">corporation home Equity loan trust, </w:t>
      </w:r>
    </w:p>
    <w:p w:rsidR="009528FD" w:rsidRPr="00E335A6" w:rsidRDefault="009528FD" w:rsidP="009528FD">
      <w:pPr>
        <w:pStyle w:val="NormalWeb"/>
        <w:jc w:val="both"/>
        <w:rPr>
          <w:b/>
          <w:caps/>
          <w:color w:val="000000"/>
        </w:rPr>
      </w:pPr>
      <w:r w:rsidRPr="00E335A6">
        <w:rPr>
          <w:b/>
          <w:caps/>
          <w:color w:val="000000"/>
        </w:rPr>
        <w:t>series 2005-ag1, asset backed Pass-</w:t>
      </w:r>
    </w:p>
    <w:p w:rsidR="009528FD" w:rsidRPr="00E335A6" w:rsidRDefault="009528FD" w:rsidP="009528FD">
      <w:pPr>
        <w:pStyle w:val="NormalWeb"/>
        <w:jc w:val="both"/>
        <w:rPr>
          <w:b/>
          <w:caps/>
          <w:color w:val="000000"/>
        </w:rPr>
      </w:pPr>
      <w:r w:rsidRPr="00E335A6">
        <w:rPr>
          <w:b/>
          <w:caps/>
          <w:color w:val="000000"/>
        </w:rPr>
        <w:t>through certificates</w:t>
      </w:r>
    </w:p>
    <w:p w:rsidR="009528FD" w:rsidRDefault="009528FD" w:rsidP="009528FD">
      <w:pPr>
        <w:pStyle w:val="NormalWeb"/>
        <w:jc w:val="both"/>
        <w:rPr>
          <w:color w:val="000000"/>
        </w:rPr>
      </w:pPr>
    </w:p>
    <w:p w:rsidR="009528FD" w:rsidRDefault="009528FD" w:rsidP="009528FD">
      <w:pPr>
        <w:pStyle w:val="NormalWeb"/>
        <w:jc w:val="both"/>
        <w:rPr>
          <w:color w:val="000000"/>
        </w:rPr>
      </w:pPr>
      <w:r>
        <w:rPr>
          <w:b/>
          <w:bCs/>
          <w:color w:val="000000"/>
        </w:rPr>
        <w:t>                            Plaintiff,</w:t>
      </w:r>
    </w:p>
    <w:p w:rsidR="009528FD" w:rsidRDefault="009528FD" w:rsidP="009528FD">
      <w:pPr>
        <w:pStyle w:val="NormalWeb"/>
        <w:jc w:val="both"/>
        <w:rPr>
          <w:color w:val="000000"/>
        </w:rPr>
      </w:pPr>
      <w:r>
        <w:rPr>
          <w:b/>
          <w:bCs/>
          <w:color w:val="000000"/>
        </w:rPr>
        <w:t> </w:t>
      </w:r>
    </w:p>
    <w:p w:rsidR="009528FD" w:rsidRDefault="009528FD" w:rsidP="009528FD">
      <w:pPr>
        <w:pStyle w:val="NormalWeb"/>
        <w:jc w:val="both"/>
        <w:rPr>
          <w:color w:val="000000"/>
        </w:rPr>
      </w:pPr>
      <w:proofErr w:type="gramStart"/>
      <w:r>
        <w:rPr>
          <w:b/>
          <w:bCs/>
          <w:color w:val="000000"/>
        </w:rPr>
        <w:t>v</w:t>
      </w:r>
      <w:proofErr w:type="gramEnd"/>
      <w:r>
        <w:rPr>
          <w:b/>
          <w:bCs/>
          <w:color w:val="000000"/>
        </w:rPr>
        <w:t xml:space="preserve">.                                             </w:t>
      </w:r>
    </w:p>
    <w:p w:rsidR="009528FD" w:rsidRDefault="009528FD" w:rsidP="009528FD">
      <w:pPr>
        <w:pStyle w:val="NormalWeb"/>
        <w:jc w:val="both"/>
        <w:rPr>
          <w:color w:val="000000"/>
        </w:rPr>
      </w:pPr>
      <w:r>
        <w:rPr>
          <w:b/>
          <w:bCs/>
          <w:color w:val="000000"/>
        </w:rPr>
        <w:t xml:space="preserve">                                                                                         </w:t>
      </w:r>
    </w:p>
    <w:p w:rsidR="009528FD" w:rsidRDefault="009528FD" w:rsidP="009528FD">
      <w:pPr>
        <w:pStyle w:val="NormalWeb"/>
        <w:jc w:val="both"/>
        <w:rPr>
          <w:color w:val="000000"/>
        </w:rPr>
      </w:pPr>
      <w:r w:rsidRPr="00E335A6">
        <w:rPr>
          <w:b/>
          <w:bCs/>
          <w:caps/>
          <w:color w:val="000000"/>
        </w:rPr>
        <w:t>Annabel E. Montgomery</w:t>
      </w:r>
      <w:r>
        <w:rPr>
          <w:b/>
          <w:bCs/>
          <w:color w:val="000000"/>
        </w:rPr>
        <w:t>, et al,</w:t>
      </w:r>
    </w:p>
    <w:p w:rsidR="009528FD" w:rsidRDefault="009528FD" w:rsidP="009528FD">
      <w:pPr>
        <w:pStyle w:val="NormalWeb"/>
        <w:jc w:val="both"/>
        <w:rPr>
          <w:color w:val="000000"/>
        </w:rPr>
      </w:pPr>
      <w:r>
        <w:rPr>
          <w:b/>
          <w:bCs/>
          <w:color w:val="000000"/>
        </w:rPr>
        <w:t> </w:t>
      </w:r>
    </w:p>
    <w:p w:rsidR="009528FD" w:rsidRDefault="009528FD" w:rsidP="009528FD">
      <w:pPr>
        <w:pStyle w:val="NormalWeb"/>
        <w:jc w:val="both"/>
        <w:rPr>
          <w:color w:val="000000"/>
        </w:rPr>
      </w:pPr>
      <w:r>
        <w:rPr>
          <w:b/>
          <w:bCs/>
          <w:color w:val="000000"/>
        </w:rPr>
        <w:t xml:space="preserve">                            </w:t>
      </w:r>
      <w:proofErr w:type="gramStart"/>
      <w:r>
        <w:rPr>
          <w:b/>
          <w:bCs/>
          <w:color w:val="000000"/>
        </w:rPr>
        <w:t>Defendant(s).</w:t>
      </w:r>
      <w:proofErr w:type="gramEnd"/>
    </w:p>
    <w:p w:rsidR="009528FD" w:rsidRDefault="009528FD" w:rsidP="009528FD">
      <w:pPr>
        <w:pStyle w:val="NormalWeb"/>
        <w:jc w:val="both"/>
        <w:rPr>
          <w:color w:val="000000"/>
        </w:rPr>
      </w:pPr>
      <w:r>
        <w:rPr>
          <w:b/>
          <w:bCs/>
          <w:color w:val="000000"/>
        </w:rPr>
        <w:t>_________________________________________/</w:t>
      </w:r>
    </w:p>
    <w:p w:rsidR="00C2376C" w:rsidRDefault="00C2376C"/>
    <w:p w:rsidR="009528FD" w:rsidRPr="00AC4D77" w:rsidRDefault="00126786" w:rsidP="009528FD">
      <w:pPr>
        <w:jc w:val="center"/>
        <w:rPr>
          <w:b/>
          <w:caps/>
          <w:u w:val="single"/>
        </w:rPr>
      </w:pPr>
      <w:r>
        <w:rPr>
          <w:b/>
          <w:caps/>
          <w:u w:val="single"/>
        </w:rPr>
        <w:t xml:space="preserve">Defendant’s </w:t>
      </w:r>
      <w:r w:rsidR="00AC4D77" w:rsidRPr="00AC4D77">
        <w:rPr>
          <w:b/>
          <w:caps/>
          <w:u w:val="single"/>
        </w:rPr>
        <w:t xml:space="preserve">Motion to Strike Affidavit of Christopher Spradling and for </w:t>
      </w:r>
      <w:r w:rsidR="00C333F8">
        <w:rPr>
          <w:b/>
          <w:caps/>
          <w:u w:val="single"/>
        </w:rPr>
        <w:t>attorney’s fees and costs</w:t>
      </w:r>
    </w:p>
    <w:p w:rsidR="009528FD" w:rsidRDefault="009528FD" w:rsidP="009528FD">
      <w:pPr>
        <w:jc w:val="center"/>
        <w:rPr>
          <w:b/>
          <w:caps/>
          <w:u w:val="single"/>
        </w:rPr>
      </w:pPr>
    </w:p>
    <w:p w:rsidR="009528FD" w:rsidRDefault="009528FD" w:rsidP="009528FD">
      <w:pPr>
        <w:spacing w:line="480" w:lineRule="auto"/>
        <w:ind w:firstLine="720"/>
        <w:jc w:val="both"/>
      </w:pPr>
      <w:r w:rsidRPr="005D73C3">
        <w:rPr>
          <w:b/>
        </w:rPr>
        <w:t>COMES NOW</w:t>
      </w:r>
      <w:r>
        <w:t xml:space="preserve">, the Defendant </w:t>
      </w:r>
      <w:r w:rsidRPr="009528FD">
        <w:rPr>
          <w:caps/>
        </w:rPr>
        <w:t>Annabel E. Montgomery</w:t>
      </w:r>
      <w:r w:rsidR="002D4493">
        <w:rPr>
          <w:caps/>
        </w:rPr>
        <w:t xml:space="preserve"> </w:t>
      </w:r>
      <w:r w:rsidR="002D4493">
        <w:t>(hereinafter “Defendant”)</w:t>
      </w:r>
      <w:r w:rsidR="001445F2">
        <w:t xml:space="preserve">, </w:t>
      </w:r>
      <w:r>
        <w:t xml:space="preserve">by and through the undersigned counsel MATTHEW D. WEIDNER, </w:t>
      </w:r>
      <w:r w:rsidR="008A2148">
        <w:t xml:space="preserve">and respectfully MOTIONS THIS COURT TO STRIKE AFFIDAVIT OF CHRISTOPHER SPADLING AND FOR </w:t>
      </w:r>
      <w:r w:rsidR="000F68FB">
        <w:t>ATTORNEY’S FEES AND COSTS</w:t>
      </w:r>
      <w:r w:rsidR="008A2148">
        <w:t>, pursuant to Fla. R. Civ</w:t>
      </w:r>
      <w:r>
        <w:t>.</w:t>
      </w:r>
      <w:r w:rsidR="008A2148">
        <w:t xml:space="preserve"> Pro. 1.510, and in support thereof states as follows:</w:t>
      </w:r>
    </w:p>
    <w:p w:rsidR="008A2148" w:rsidRDefault="008A2148" w:rsidP="008A2148">
      <w:pPr>
        <w:spacing w:line="480" w:lineRule="auto"/>
        <w:jc w:val="center"/>
        <w:rPr>
          <w:b/>
        </w:rPr>
      </w:pPr>
      <w:r>
        <w:rPr>
          <w:b/>
        </w:rPr>
        <w:t>FACTS</w:t>
      </w:r>
    </w:p>
    <w:p w:rsidR="002D4493" w:rsidRDefault="002D4493" w:rsidP="002D4493">
      <w:pPr>
        <w:pStyle w:val="ListParagraph"/>
        <w:numPr>
          <w:ilvl w:val="0"/>
          <w:numId w:val="1"/>
        </w:numPr>
        <w:spacing w:line="480" w:lineRule="auto"/>
        <w:ind w:left="0" w:firstLine="360"/>
        <w:jc w:val="both"/>
      </w:pPr>
      <w:r>
        <w:t>This is an action for foreclosure of real property owned by the Defendant.</w:t>
      </w:r>
    </w:p>
    <w:p w:rsidR="002D4493" w:rsidRDefault="002D4493" w:rsidP="002D4493">
      <w:pPr>
        <w:pStyle w:val="ListParagraph"/>
        <w:numPr>
          <w:ilvl w:val="0"/>
          <w:numId w:val="1"/>
        </w:numPr>
        <w:spacing w:line="480" w:lineRule="auto"/>
        <w:ind w:left="0" w:firstLine="360"/>
        <w:jc w:val="both"/>
      </w:pPr>
      <w:r>
        <w:t xml:space="preserve">The named plaintiff in this case is </w:t>
      </w:r>
      <w:r w:rsidRPr="002D4493">
        <w:t>HSBC BANK, USA, NATIONAL ASSOCATION, AS TRUSTEE FOR THE ACE SECURITIES CORPORATION HOME EQUITY TRUST, SERIES 2005-AG1, ASSET BACKED PASS-T</w:t>
      </w:r>
      <w:r>
        <w:t>HROUGH CERTIFICATE (hereinafter “Plaintiff”)</w:t>
      </w:r>
      <w:r w:rsidRPr="002D4493">
        <w:t>.</w:t>
      </w:r>
    </w:p>
    <w:p w:rsidR="002D4493" w:rsidRDefault="002D4493" w:rsidP="002D4493">
      <w:pPr>
        <w:pStyle w:val="ListParagraph"/>
        <w:numPr>
          <w:ilvl w:val="0"/>
          <w:numId w:val="1"/>
        </w:numPr>
        <w:spacing w:line="480" w:lineRule="auto"/>
        <w:ind w:left="0" w:firstLine="360"/>
        <w:jc w:val="both"/>
      </w:pPr>
      <w:r>
        <w:lastRenderedPageBreak/>
        <w:t xml:space="preserve">On February 2, 2010 Plaintiff, </w:t>
      </w:r>
      <w:r w:rsidR="000F68FB">
        <w:t xml:space="preserve">by and </w:t>
      </w:r>
      <w:r>
        <w:t>through its counsel Florida Default Law Group, P.L. (hereinafter “Florida Default Law Group”), gave Notice of Filing of Affidavit as to Amounts Due and Owing and the accompanying Affidavit</w:t>
      </w:r>
      <w:r w:rsidR="00A7267E">
        <w:t xml:space="preserve"> (hereinafter “Affidavit”)</w:t>
      </w:r>
      <w:r>
        <w:t>.</w:t>
      </w:r>
    </w:p>
    <w:p w:rsidR="002D4493" w:rsidRDefault="002D4493" w:rsidP="002D4493">
      <w:pPr>
        <w:pStyle w:val="ListParagraph"/>
        <w:numPr>
          <w:ilvl w:val="0"/>
          <w:numId w:val="1"/>
        </w:numPr>
        <w:spacing w:line="480" w:lineRule="auto"/>
        <w:ind w:left="0" w:firstLine="360"/>
        <w:jc w:val="both"/>
      </w:pPr>
      <w:r>
        <w:t xml:space="preserve">The Affiant of the above-mention Affidavit was identified as </w:t>
      </w:r>
      <w:r w:rsidRPr="002D4493">
        <w:rPr>
          <w:caps/>
        </w:rPr>
        <w:t>Christopher Spradling</w:t>
      </w:r>
      <w:r>
        <w:t xml:space="preserve"> (hereinafter “Spradling”).  Spradling identified himself as a “Foreclosure Manager” for LITTON LOAN SERVICING, LP (hereinafter “Litton”).  Litton, in turn, was identified as “</w:t>
      </w:r>
      <w:r w:rsidR="00A7267E">
        <w:t xml:space="preserve">the </w:t>
      </w:r>
      <w:r>
        <w:t>servicer of the loan</w:t>
      </w:r>
      <w:proofErr w:type="gramStart"/>
      <w:r>
        <w:t>…[</w:t>
      </w:r>
      <w:proofErr w:type="gramEnd"/>
      <w:r>
        <w:t>Litton] is responsible for the collection of this loan transaction and pursuit of any delinquency in payments.”</w:t>
      </w:r>
      <w:r>
        <w:rPr>
          <w:rStyle w:val="FootnoteReference"/>
        </w:rPr>
        <w:footnoteReference w:id="1"/>
      </w:r>
    </w:p>
    <w:p w:rsidR="00A7267E" w:rsidRDefault="00A7267E" w:rsidP="002D4493">
      <w:pPr>
        <w:pStyle w:val="ListParagraph"/>
        <w:numPr>
          <w:ilvl w:val="0"/>
          <w:numId w:val="1"/>
        </w:numPr>
        <w:spacing w:line="480" w:lineRule="auto"/>
        <w:ind w:left="0" w:firstLine="360"/>
        <w:jc w:val="both"/>
      </w:pPr>
      <w:r>
        <w:t>Spradling</w:t>
      </w:r>
      <w:r w:rsidR="00D60AF4">
        <w:t>,</w:t>
      </w:r>
      <w:r>
        <w:t xml:space="preserve"> </w:t>
      </w:r>
      <w:r w:rsidR="00D60AF4">
        <w:t xml:space="preserve">based upon his </w:t>
      </w:r>
      <w:r w:rsidR="00D60AF4">
        <w:rPr>
          <w:u w:val="single"/>
        </w:rPr>
        <w:t>personal knowledge</w:t>
      </w:r>
      <w:r w:rsidR="00D60AF4">
        <w:t xml:space="preserve">, </w:t>
      </w:r>
      <w:r>
        <w:t xml:space="preserve">averred in the Affidavit </w:t>
      </w:r>
      <w:r w:rsidR="0002689D">
        <w:t xml:space="preserve">that: (1) </w:t>
      </w:r>
      <w:r>
        <w:t>the Plaintiff or its assigns was owed a tota</w:t>
      </w:r>
      <w:r w:rsidR="0002689D">
        <w:t>l of $408,809.30; (2) the Plaintiff was entitled to enforce the Note and Mortgage; and (3) Plaintiff was entitled to a judgment as a matter of law.</w:t>
      </w:r>
      <w:r w:rsidR="0002689D">
        <w:rPr>
          <w:rStyle w:val="FootnoteReference"/>
        </w:rPr>
        <w:footnoteReference w:id="2"/>
      </w:r>
      <w:r w:rsidR="00EC5543">
        <w:t xml:space="preserve">  The Affidavit does not contain any mention as to </w:t>
      </w:r>
      <w:r w:rsidR="00EC5543">
        <w:rPr>
          <w:u w:val="single"/>
        </w:rPr>
        <w:t>who</w:t>
      </w:r>
      <w:r w:rsidR="00EC5543">
        <w:t xml:space="preserve"> owes the Plaintiff the su</w:t>
      </w:r>
      <w:r w:rsidR="007B2BE4">
        <w:t>m alleged save for one sentences line which cryptically state</w:t>
      </w:r>
      <w:r w:rsidR="00EC5543">
        <w:t xml:space="preserve"> “[s]</w:t>
      </w:r>
      <w:proofErr w:type="spellStart"/>
      <w:r w:rsidR="00EC5543">
        <w:t>pecifically</w:t>
      </w:r>
      <w:proofErr w:type="spellEnd"/>
      <w:r w:rsidR="00EC5543">
        <w:t xml:space="preserve">, I have </w:t>
      </w:r>
      <w:r w:rsidR="00EC5543">
        <w:rPr>
          <w:u w:val="single"/>
        </w:rPr>
        <w:t>personal knowledge</w:t>
      </w:r>
      <w:r w:rsidR="00EC5543">
        <w:t xml:space="preserve"> of the facts regarding the sums which are due and owing to Plaintiff or its assigns pursuant to the Note and Mortgage which is the subject matter of the lawsuit”</w:t>
      </w:r>
      <w:r w:rsidR="00D60AF4">
        <w:t xml:space="preserve"> and a second which states “I am familiar with the books of account…concerning the transactions alleged in the Complaint.”</w:t>
      </w:r>
      <w:r w:rsidR="00EC5543">
        <w:rPr>
          <w:rStyle w:val="FootnoteReference"/>
        </w:rPr>
        <w:footnoteReference w:id="3"/>
      </w:r>
      <w:r w:rsidR="00EC5543">
        <w:t xml:space="preserve">  </w:t>
      </w:r>
      <w:r w:rsidR="00EC5543" w:rsidRPr="00EC5543">
        <w:rPr>
          <w:i/>
        </w:rPr>
        <w:t>Emphasis added</w:t>
      </w:r>
      <w:r w:rsidR="00EC5543">
        <w:t>.</w:t>
      </w:r>
    </w:p>
    <w:p w:rsidR="00126786" w:rsidRDefault="00A7267E" w:rsidP="002D4493">
      <w:pPr>
        <w:pStyle w:val="ListParagraph"/>
        <w:numPr>
          <w:ilvl w:val="0"/>
          <w:numId w:val="1"/>
        </w:numPr>
        <w:spacing w:line="480" w:lineRule="auto"/>
        <w:ind w:left="0" w:firstLine="360"/>
        <w:jc w:val="both"/>
      </w:pPr>
      <w:r>
        <w:t xml:space="preserve">Nowhere in the Affidavit was either Litton or Spradling identified as either the Plaintiff or the Plaintiff’s </w:t>
      </w:r>
      <w:r w:rsidR="004E070E">
        <w:t xml:space="preserve">authorized </w:t>
      </w:r>
      <w:r>
        <w:t xml:space="preserve">agent.  </w:t>
      </w:r>
    </w:p>
    <w:p w:rsidR="00A7267E" w:rsidRDefault="00EC5543" w:rsidP="002D4493">
      <w:pPr>
        <w:pStyle w:val="ListParagraph"/>
        <w:numPr>
          <w:ilvl w:val="0"/>
          <w:numId w:val="1"/>
        </w:numPr>
        <w:spacing w:line="480" w:lineRule="auto"/>
        <w:ind w:left="0" w:firstLine="360"/>
        <w:jc w:val="both"/>
      </w:pPr>
      <w:r>
        <w:t xml:space="preserve">Upon information and belief, Litton is </w:t>
      </w:r>
      <w:r w:rsidR="00126786">
        <w:t xml:space="preserve">simply </w:t>
      </w:r>
      <w:r>
        <w:t>a “middleman” of sorts who is responsible for the transfer of funds between the various assignees of the unde</w:t>
      </w:r>
      <w:r w:rsidR="00126786">
        <w:t xml:space="preserve">rlying Mortgage and Note and has </w:t>
      </w:r>
      <w:r w:rsidR="004E070E">
        <w:t>no</w:t>
      </w:r>
      <w:r w:rsidR="00126786">
        <w:t xml:space="preserve"> knowledge of the underlying transactions between the Plaintiff and Defendant.</w:t>
      </w:r>
    </w:p>
    <w:p w:rsidR="00EC5543" w:rsidRPr="002D4493" w:rsidRDefault="00EC5543" w:rsidP="002D4493">
      <w:pPr>
        <w:pStyle w:val="ListParagraph"/>
        <w:numPr>
          <w:ilvl w:val="0"/>
          <w:numId w:val="1"/>
        </w:numPr>
        <w:spacing w:line="480" w:lineRule="auto"/>
        <w:ind w:left="0" w:firstLine="360"/>
        <w:jc w:val="both"/>
      </w:pPr>
      <w:r>
        <w:lastRenderedPageBreak/>
        <w:t xml:space="preserve">Upon information and belief, </w:t>
      </w:r>
      <w:r w:rsidR="00126786">
        <w:t xml:space="preserve">Spradling, as employee of Litton and not </w:t>
      </w:r>
      <w:r w:rsidR="004E070E">
        <w:t xml:space="preserve">the </w:t>
      </w:r>
      <w:r w:rsidR="00126786">
        <w:t>Plaintiff, has no knowledge of the underlying transactions between the Plaintiff and Defendant.</w:t>
      </w:r>
    </w:p>
    <w:p w:rsidR="008A2148" w:rsidRDefault="008A2148" w:rsidP="008A2148">
      <w:pPr>
        <w:spacing w:line="480" w:lineRule="auto"/>
        <w:jc w:val="center"/>
        <w:rPr>
          <w:b/>
        </w:rPr>
      </w:pPr>
      <w:r>
        <w:rPr>
          <w:b/>
        </w:rPr>
        <w:t>LEGAL REASONING</w:t>
      </w:r>
      <w:r w:rsidR="00BF0237">
        <w:rPr>
          <w:b/>
        </w:rPr>
        <w:t xml:space="preserve"> IN SUPPORT OF MOTION</w:t>
      </w:r>
    </w:p>
    <w:p w:rsidR="00126786" w:rsidRDefault="00126786" w:rsidP="00126786">
      <w:pPr>
        <w:pStyle w:val="ListParagraph"/>
        <w:numPr>
          <w:ilvl w:val="0"/>
          <w:numId w:val="2"/>
        </w:numPr>
        <w:spacing w:line="480" w:lineRule="auto"/>
        <w:jc w:val="both"/>
        <w:rPr>
          <w:b/>
        </w:rPr>
      </w:pPr>
      <w:r>
        <w:rPr>
          <w:b/>
        </w:rPr>
        <w:t>Plaintiff Failed to Att</w:t>
      </w:r>
      <w:r w:rsidR="00083A1C">
        <w:rPr>
          <w:b/>
        </w:rPr>
        <w:t>ach Documents Referred to in the</w:t>
      </w:r>
      <w:r>
        <w:rPr>
          <w:b/>
        </w:rPr>
        <w:t xml:space="preserve"> Affidavit</w:t>
      </w:r>
    </w:p>
    <w:p w:rsidR="005E1A7B" w:rsidRDefault="00126786" w:rsidP="005E1A7B">
      <w:pPr>
        <w:pStyle w:val="ListParagraph"/>
        <w:numPr>
          <w:ilvl w:val="1"/>
          <w:numId w:val="2"/>
        </w:numPr>
        <w:spacing w:line="480" w:lineRule="auto"/>
        <w:jc w:val="both"/>
        <w:rPr>
          <w:b/>
        </w:rPr>
      </w:pPr>
      <w:r>
        <w:rPr>
          <w:b/>
        </w:rPr>
        <w:t>Failure to Attach Documents Violates Fla. Stat. §90.901 (1989)</w:t>
      </w:r>
    </w:p>
    <w:p w:rsidR="005E1A7B" w:rsidRDefault="005E1A7B" w:rsidP="005E1A7B">
      <w:pPr>
        <w:pStyle w:val="ListParagraph"/>
        <w:spacing w:line="480" w:lineRule="auto"/>
        <w:ind w:left="0"/>
        <w:jc w:val="both"/>
        <w:rPr>
          <w:rFonts w:cs="Times New Roman"/>
          <w:color w:val="190B07"/>
          <w:szCs w:val="24"/>
        </w:rPr>
      </w:pPr>
      <w:r>
        <w:rPr>
          <w:b/>
        </w:rPr>
        <w:tab/>
      </w:r>
      <w:r>
        <w:t xml:space="preserve">Florida Statue §90.901 (1989) states, in pertinent part, that </w:t>
      </w:r>
      <w:r w:rsidRPr="005E1A7B">
        <w:rPr>
          <w:rFonts w:cs="Times New Roman"/>
          <w:szCs w:val="24"/>
        </w:rPr>
        <w:t>“</w:t>
      </w:r>
      <w:r w:rsidRPr="005E1A7B">
        <w:rPr>
          <w:rFonts w:cs="Times New Roman"/>
          <w:color w:val="190B07"/>
          <w:szCs w:val="24"/>
        </w:rPr>
        <w:t>[a]</w:t>
      </w:r>
      <w:proofErr w:type="spellStart"/>
      <w:r w:rsidRPr="005E1A7B">
        <w:rPr>
          <w:rFonts w:cs="Times New Roman"/>
          <w:color w:val="190B07"/>
          <w:szCs w:val="24"/>
        </w:rPr>
        <w:t>uthentication</w:t>
      </w:r>
      <w:proofErr w:type="spellEnd"/>
      <w:r w:rsidRPr="005E1A7B">
        <w:rPr>
          <w:rFonts w:cs="Times New Roman"/>
          <w:color w:val="190B07"/>
          <w:szCs w:val="24"/>
        </w:rPr>
        <w:t xml:space="preserve"> or identification of evidence is required as a condition precedent to its admissibility.</w:t>
      </w:r>
      <w:r>
        <w:rPr>
          <w:rFonts w:cs="Times New Roman"/>
          <w:color w:val="190B07"/>
          <w:szCs w:val="24"/>
        </w:rPr>
        <w:t xml:space="preserve">”  The failure to authenticate documents referred to in affidavits renders the affiant incompetent to testify </w:t>
      </w:r>
      <w:r w:rsidR="000F68FB">
        <w:rPr>
          <w:rFonts w:cs="Times New Roman"/>
          <w:color w:val="190B07"/>
          <w:szCs w:val="24"/>
        </w:rPr>
        <w:t xml:space="preserve">as </w:t>
      </w:r>
      <w:r>
        <w:rPr>
          <w:rFonts w:cs="Times New Roman"/>
          <w:color w:val="190B07"/>
          <w:szCs w:val="24"/>
        </w:rPr>
        <w:t xml:space="preserve">to the matters referred to in the affidavit.  </w:t>
      </w:r>
      <w:r>
        <w:rPr>
          <w:rFonts w:cs="Times New Roman"/>
          <w:i/>
          <w:color w:val="190B07"/>
          <w:szCs w:val="24"/>
        </w:rPr>
        <w:t xml:space="preserve">See </w:t>
      </w:r>
      <w:r>
        <w:rPr>
          <w:rFonts w:cs="Times New Roman"/>
          <w:color w:val="190B07"/>
          <w:szCs w:val="24"/>
        </w:rPr>
        <w:t xml:space="preserve">Fla. R. Civ. Pro. 1.510(e) (which reads, in pertinent part, that “affidavits…shall show affirmatively that the affiant is competent to testify </w:t>
      </w:r>
      <w:r w:rsidR="00D32D7B">
        <w:rPr>
          <w:rFonts w:cs="Times New Roman"/>
          <w:color w:val="190B07"/>
          <w:szCs w:val="24"/>
        </w:rPr>
        <w:t xml:space="preserve">to the matters stated therein”); </w:t>
      </w:r>
      <w:proofErr w:type="spellStart"/>
      <w:r w:rsidR="00D32D7B">
        <w:rPr>
          <w:rFonts w:cs="Times New Roman"/>
          <w:color w:val="190B07"/>
          <w:szCs w:val="24"/>
          <w:u w:val="single"/>
        </w:rPr>
        <w:t>Zoda</w:t>
      </w:r>
      <w:proofErr w:type="spellEnd"/>
      <w:r w:rsidR="00D32D7B">
        <w:rPr>
          <w:rFonts w:cs="Times New Roman"/>
          <w:color w:val="190B07"/>
          <w:szCs w:val="24"/>
          <w:u w:val="single"/>
        </w:rPr>
        <w:t xml:space="preserve"> v. </w:t>
      </w:r>
      <w:proofErr w:type="spellStart"/>
      <w:r w:rsidR="00D32D7B">
        <w:rPr>
          <w:rFonts w:cs="Times New Roman"/>
          <w:color w:val="190B07"/>
          <w:szCs w:val="24"/>
          <w:u w:val="single"/>
        </w:rPr>
        <w:t>Hedden</w:t>
      </w:r>
      <w:proofErr w:type="spellEnd"/>
      <w:r w:rsidR="00D32D7B">
        <w:rPr>
          <w:rFonts w:cs="Times New Roman"/>
          <w:color w:val="190B07"/>
          <w:szCs w:val="24"/>
        </w:rPr>
        <w:t>, 596 So. 2d 1225, 1226 (Fla. 2d DCA 1992) (holding, in part, that failure to attach certified copies of public records rendered affiant, who was not a custodian of said records, incompetent to testify to the matters stated in his affidavit as affiant was unable to authenticate the documents referred to therein.)</w:t>
      </w:r>
    </w:p>
    <w:p w:rsidR="00D32D7B" w:rsidRDefault="00D32D7B" w:rsidP="005E1A7B">
      <w:pPr>
        <w:pStyle w:val="ListParagraph"/>
        <w:spacing w:line="480" w:lineRule="auto"/>
        <w:ind w:left="0"/>
        <w:jc w:val="both"/>
        <w:rPr>
          <w:rFonts w:cs="Times New Roman"/>
          <w:color w:val="190B07"/>
          <w:szCs w:val="24"/>
        </w:rPr>
      </w:pPr>
      <w:r>
        <w:rPr>
          <w:rFonts w:cs="Times New Roman"/>
          <w:color w:val="190B07"/>
          <w:szCs w:val="24"/>
        </w:rPr>
        <w:tab/>
        <w:t xml:space="preserve">Here, Spradling affirmatively states in </w:t>
      </w:r>
      <w:r w:rsidR="000F68FB">
        <w:rPr>
          <w:rFonts w:cs="Times New Roman"/>
          <w:color w:val="190B07"/>
          <w:szCs w:val="24"/>
        </w:rPr>
        <w:t>the Affidavit</w:t>
      </w:r>
      <w:r>
        <w:rPr>
          <w:rFonts w:cs="Times New Roman"/>
          <w:color w:val="190B07"/>
          <w:szCs w:val="24"/>
        </w:rPr>
        <w:t xml:space="preserve"> that he is “familiar with the books of account and have examined all books, records, and documents kept by LITTON LOAN SERVICING, LP concerning the transactions alleged in the Complaint.”</w:t>
      </w:r>
      <w:r>
        <w:rPr>
          <w:rStyle w:val="FootnoteReference"/>
          <w:rFonts w:cs="Times New Roman"/>
          <w:color w:val="190B07"/>
          <w:szCs w:val="24"/>
        </w:rPr>
        <w:footnoteReference w:id="4"/>
      </w:r>
      <w:r>
        <w:rPr>
          <w:rFonts w:cs="Times New Roman"/>
          <w:color w:val="190B07"/>
          <w:szCs w:val="24"/>
        </w:rPr>
        <w:t xml:space="preserve">  Furthermore, Spradling averred that the “Plaintiff or its assigns, is owed…$408,809.30.”</w:t>
      </w:r>
      <w:r>
        <w:rPr>
          <w:rStyle w:val="FootnoteReference"/>
          <w:rFonts w:cs="Times New Roman"/>
          <w:color w:val="190B07"/>
          <w:szCs w:val="24"/>
        </w:rPr>
        <w:footnoteReference w:id="5"/>
      </w:r>
      <w:r>
        <w:rPr>
          <w:rFonts w:cs="Times New Roman"/>
          <w:color w:val="190B07"/>
          <w:szCs w:val="24"/>
        </w:rPr>
        <w:t xml:space="preserve">  Nevertheless, Spradling has failed to attach any of the books, records or documents referred to in </w:t>
      </w:r>
      <w:r w:rsidR="000F68FB">
        <w:rPr>
          <w:rFonts w:cs="Times New Roman"/>
          <w:color w:val="190B07"/>
          <w:szCs w:val="24"/>
        </w:rPr>
        <w:t>the A</w:t>
      </w:r>
      <w:r>
        <w:rPr>
          <w:rFonts w:cs="Times New Roman"/>
          <w:color w:val="190B07"/>
          <w:szCs w:val="24"/>
        </w:rPr>
        <w:t xml:space="preserve">ffidavit.  </w:t>
      </w:r>
      <w:r w:rsidR="004E5D4B">
        <w:rPr>
          <w:rFonts w:cs="Times New Roman"/>
          <w:color w:val="190B07"/>
          <w:szCs w:val="24"/>
        </w:rPr>
        <w:t xml:space="preserve">In addition, Spradling does not meet the definition of “custodian,” which is “a person or institution that has charge or custody (of…papers).”  </w:t>
      </w:r>
      <w:r w:rsidR="004E5D4B">
        <w:rPr>
          <w:rFonts w:cs="Times New Roman"/>
          <w:i/>
          <w:color w:val="190B07"/>
          <w:szCs w:val="24"/>
        </w:rPr>
        <w:t>See</w:t>
      </w:r>
      <w:r w:rsidR="004E5D4B">
        <w:rPr>
          <w:rFonts w:cs="Times New Roman"/>
          <w:color w:val="190B07"/>
          <w:szCs w:val="24"/>
        </w:rPr>
        <w:t xml:space="preserve"> </w:t>
      </w:r>
      <w:r w:rsidR="004E5D4B" w:rsidRPr="004E5D4B">
        <w:rPr>
          <w:rFonts w:cs="Times New Roman"/>
          <w:color w:val="190B07"/>
          <w:szCs w:val="24"/>
          <w:u w:val="single"/>
        </w:rPr>
        <w:t>Black’s Law Dictionary</w:t>
      </w:r>
      <w:r w:rsidR="004E5D4B">
        <w:rPr>
          <w:rFonts w:cs="Times New Roman"/>
          <w:color w:val="190B07"/>
          <w:szCs w:val="24"/>
        </w:rPr>
        <w:t xml:space="preserve">, 8th ed. 2004, </w:t>
      </w:r>
      <w:r w:rsidR="004E5D4B" w:rsidRPr="00283631">
        <w:rPr>
          <w:rFonts w:cs="Times New Roman"/>
          <w:i/>
          <w:color w:val="190B07"/>
          <w:szCs w:val="24"/>
        </w:rPr>
        <w:t>custodian</w:t>
      </w:r>
      <w:r w:rsidR="004E5D4B">
        <w:rPr>
          <w:rFonts w:cs="Times New Roman"/>
          <w:color w:val="190B07"/>
          <w:szCs w:val="24"/>
        </w:rPr>
        <w:t xml:space="preserve">.  By Spradling’s own admission “[t]he books, records, and documents which </w:t>
      </w:r>
      <w:r w:rsidR="004E5D4B">
        <w:rPr>
          <w:rFonts w:cs="Times New Roman"/>
          <w:color w:val="190B07"/>
          <w:szCs w:val="24"/>
        </w:rPr>
        <w:lastRenderedPageBreak/>
        <w:t xml:space="preserve">[Spradling] has examined </w:t>
      </w:r>
      <w:r w:rsidR="004E5D4B" w:rsidRPr="004E5D4B">
        <w:rPr>
          <w:rFonts w:cs="Times New Roman"/>
          <w:color w:val="190B07"/>
          <w:szCs w:val="24"/>
          <w:u w:val="single"/>
        </w:rPr>
        <w:t>are managed by employees or agents whose duty it is to keep the books accurately and completely</w:t>
      </w:r>
      <w:r w:rsidR="004E5D4B">
        <w:rPr>
          <w:rFonts w:cs="Times New Roman"/>
          <w:color w:val="190B07"/>
          <w:szCs w:val="24"/>
        </w:rPr>
        <w:t>.”</w:t>
      </w:r>
      <w:r w:rsidR="00283631">
        <w:rPr>
          <w:rStyle w:val="FootnoteReference"/>
          <w:rFonts w:cs="Times New Roman"/>
          <w:color w:val="190B07"/>
          <w:szCs w:val="24"/>
        </w:rPr>
        <w:footnoteReference w:id="6"/>
      </w:r>
      <w:r w:rsidR="004E5D4B">
        <w:rPr>
          <w:rFonts w:cs="Times New Roman"/>
          <w:color w:val="190B07"/>
          <w:szCs w:val="24"/>
        </w:rPr>
        <w:t xml:space="preserve">  </w:t>
      </w:r>
      <w:r w:rsidR="004E5D4B">
        <w:rPr>
          <w:rFonts w:cs="Times New Roman"/>
          <w:i/>
          <w:color w:val="190B07"/>
          <w:szCs w:val="24"/>
        </w:rPr>
        <w:t>Emphasis added</w:t>
      </w:r>
      <w:r w:rsidR="004E5D4B">
        <w:rPr>
          <w:rFonts w:cs="Times New Roman"/>
          <w:color w:val="190B07"/>
          <w:szCs w:val="24"/>
        </w:rPr>
        <w:t xml:space="preserve">.  Thus, Spradling has only </w:t>
      </w:r>
      <w:r w:rsidR="004E5D4B">
        <w:rPr>
          <w:rFonts w:cs="Times New Roman"/>
          <w:color w:val="190B07"/>
          <w:szCs w:val="24"/>
          <w:u w:val="single"/>
        </w:rPr>
        <w:t>examined</w:t>
      </w:r>
      <w:r w:rsidR="004E5D4B">
        <w:rPr>
          <w:rFonts w:cs="Times New Roman"/>
          <w:color w:val="190B07"/>
          <w:szCs w:val="24"/>
        </w:rPr>
        <w:t xml:space="preserve"> the books, records, and documents which he refers to in </w:t>
      </w:r>
      <w:r w:rsidR="000F68FB">
        <w:rPr>
          <w:rFonts w:cs="Times New Roman"/>
          <w:color w:val="190B07"/>
          <w:szCs w:val="24"/>
        </w:rPr>
        <w:t>the A</w:t>
      </w:r>
      <w:r w:rsidR="004E5D4B">
        <w:rPr>
          <w:rFonts w:cs="Times New Roman"/>
          <w:color w:val="190B07"/>
          <w:szCs w:val="24"/>
        </w:rPr>
        <w:t xml:space="preserve">ffidavit </w:t>
      </w:r>
      <w:r w:rsidR="00283631">
        <w:rPr>
          <w:rFonts w:cs="Times New Roman"/>
          <w:color w:val="190B07"/>
          <w:szCs w:val="24"/>
        </w:rPr>
        <w:t xml:space="preserve">while the true custodians of these documents are the employees or agents whose duty it is to keep the books accurately and completely.  In essence, Spradling </w:t>
      </w:r>
      <w:proofErr w:type="gramStart"/>
      <w:r w:rsidR="00283631">
        <w:rPr>
          <w:rFonts w:cs="Times New Roman"/>
          <w:color w:val="190B07"/>
          <w:szCs w:val="24"/>
        </w:rPr>
        <w:t>averred</w:t>
      </w:r>
      <w:proofErr w:type="gramEnd"/>
      <w:r w:rsidR="00283631">
        <w:rPr>
          <w:rFonts w:cs="Times New Roman"/>
          <w:color w:val="190B07"/>
          <w:szCs w:val="24"/>
        </w:rPr>
        <w:t xml:space="preserve"> to records which he did not submit nor could he testify for the authenticity of just as the affiant in </w:t>
      </w:r>
      <w:proofErr w:type="spellStart"/>
      <w:r w:rsidR="00283631">
        <w:rPr>
          <w:rFonts w:cs="Times New Roman"/>
          <w:color w:val="190B07"/>
          <w:szCs w:val="24"/>
          <w:u w:val="single"/>
        </w:rPr>
        <w:t>Zoda</w:t>
      </w:r>
      <w:proofErr w:type="spellEnd"/>
      <w:r w:rsidR="00283631">
        <w:rPr>
          <w:rFonts w:cs="Times New Roman"/>
          <w:color w:val="190B07"/>
          <w:szCs w:val="24"/>
        </w:rPr>
        <w:t xml:space="preserve"> did</w:t>
      </w:r>
      <w:r w:rsidR="004E5D4B">
        <w:rPr>
          <w:rFonts w:cs="Times New Roman"/>
          <w:color w:val="190B07"/>
          <w:szCs w:val="24"/>
        </w:rPr>
        <w:t>.</w:t>
      </w:r>
    </w:p>
    <w:p w:rsidR="004E5D4B" w:rsidRPr="004E5D4B" w:rsidRDefault="004E5D4B" w:rsidP="005E1A7B">
      <w:pPr>
        <w:pStyle w:val="ListParagraph"/>
        <w:spacing w:line="480" w:lineRule="auto"/>
        <w:ind w:left="0"/>
        <w:jc w:val="both"/>
        <w:rPr>
          <w:rFonts w:cs="Times New Roman"/>
          <w:szCs w:val="24"/>
        </w:rPr>
      </w:pPr>
      <w:r>
        <w:rPr>
          <w:rFonts w:cs="Times New Roman"/>
          <w:color w:val="190B07"/>
          <w:szCs w:val="24"/>
        </w:rPr>
        <w:tab/>
        <w:t xml:space="preserve">Spradling’s failure to attach the documents referred to in </w:t>
      </w:r>
      <w:r w:rsidR="000F68FB">
        <w:rPr>
          <w:rFonts w:cs="Times New Roman"/>
          <w:color w:val="190B07"/>
          <w:szCs w:val="24"/>
        </w:rPr>
        <w:t>the Affidavit</w:t>
      </w:r>
      <w:r>
        <w:rPr>
          <w:rFonts w:cs="Times New Roman"/>
          <w:color w:val="190B07"/>
          <w:szCs w:val="24"/>
        </w:rPr>
        <w:t xml:space="preserve"> without being custodian of same is a violation of </w:t>
      </w:r>
      <w:r w:rsidR="00283631">
        <w:rPr>
          <w:rFonts w:cs="Times New Roman"/>
          <w:color w:val="190B07"/>
          <w:szCs w:val="24"/>
        </w:rPr>
        <w:t xml:space="preserve">the authentication rule promulgated in </w:t>
      </w:r>
      <w:r>
        <w:rPr>
          <w:rFonts w:cs="Times New Roman"/>
          <w:color w:val="190B07"/>
          <w:szCs w:val="24"/>
        </w:rPr>
        <w:t>Fla. Stat. §90.901 (1989), which renders him incompetent to testif</w:t>
      </w:r>
      <w:r w:rsidR="00283631">
        <w:rPr>
          <w:rFonts w:cs="Times New Roman"/>
          <w:color w:val="190B07"/>
          <w:szCs w:val="24"/>
        </w:rPr>
        <w:t xml:space="preserve">y to the matters stated therein as the Second District in </w:t>
      </w:r>
      <w:proofErr w:type="spellStart"/>
      <w:r w:rsidR="00283631">
        <w:rPr>
          <w:rFonts w:cs="Times New Roman"/>
          <w:color w:val="190B07"/>
          <w:szCs w:val="24"/>
          <w:u w:val="single"/>
        </w:rPr>
        <w:t>Zoda</w:t>
      </w:r>
      <w:proofErr w:type="spellEnd"/>
      <w:r w:rsidR="00283631">
        <w:rPr>
          <w:rFonts w:cs="Times New Roman"/>
          <w:color w:val="190B07"/>
          <w:szCs w:val="24"/>
        </w:rPr>
        <w:t xml:space="preserve"> held.  Therefore,</w:t>
      </w:r>
      <w:r>
        <w:rPr>
          <w:rFonts w:cs="Times New Roman"/>
          <w:color w:val="190B07"/>
          <w:szCs w:val="24"/>
        </w:rPr>
        <w:t xml:space="preserve"> </w:t>
      </w:r>
      <w:r w:rsidR="000F68FB">
        <w:rPr>
          <w:rFonts w:cs="Times New Roman"/>
          <w:color w:val="190B07"/>
          <w:szCs w:val="24"/>
        </w:rPr>
        <w:t>the Affidavit</w:t>
      </w:r>
      <w:r>
        <w:rPr>
          <w:rFonts w:cs="Times New Roman"/>
          <w:color w:val="190B07"/>
          <w:szCs w:val="24"/>
        </w:rPr>
        <w:t xml:space="preserve"> should be str</w:t>
      </w:r>
      <w:r w:rsidR="00283631">
        <w:rPr>
          <w:rFonts w:cs="Times New Roman"/>
          <w:color w:val="190B07"/>
          <w:szCs w:val="24"/>
        </w:rPr>
        <w:t>uck</w:t>
      </w:r>
      <w:r>
        <w:rPr>
          <w:rFonts w:cs="Times New Roman"/>
          <w:color w:val="190B07"/>
          <w:szCs w:val="24"/>
        </w:rPr>
        <w:t xml:space="preserve"> in whole.</w:t>
      </w:r>
    </w:p>
    <w:p w:rsidR="00083A1C" w:rsidRDefault="00126786" w:rsidP="00083A1C">
      <w:pPr>
        <w:pStyle w:val="ListParagraph"/>
        <w:numPr>
          <w:ilvl w:val="1"/>
          <w:numId w:val="2"/>
        </w:numPr>
        <w:spacing w:line="480" w:lineRule="auto"/>
        <w:jc w:val="both"/>
        <w:rPr>
          <w:b/>
        </w:rPr>
      </w:pPr>
      <w:r>
        <w:rPr>
          <w:b/>
        </w:rPr>
        <w:t>Failure to Attach Documents Violates Fla. R. Civ. Pro. 1.510(e</w:t>
      </w:r>
      <w:r w:rsidR="00083A1C">
        <w:rPr>
          <w:b/>
        </w:rPr>
        <w:t>)</w:t>
      </w:r>
    </w:p>
    <w:p w:rsidR="00083A1C" w:rsidRDefault="00083A1C" w:rsidP="00083A1C">
      <w:pPr>
        <w:pStyle w:val="ListParagraph"/>
        <w:spacing w:line="480" w:lineRule="auto"/>
        <w:ind w:left="0"/>
        <w:jc w:val="both"/>
      </w:pPr>
      <w:r>
        <w:tab/>
      </w:r>
      <w:proofErr w:type="gramStart"/>
      <w:r>
        <w:t>Fla. R. Civ. Pro.</w:t>
      </w:r>
      <w:proofErr w:type="gramEnd"/>
      <w:r>
        <w:t xml:space="preserve"> 1.510(e) provides, in part, that “[s]worn or certified copies of all papers or parts thereof referred to in an affidavit shall be attached thereto or served therewith.”  Failure to attach such papers is grounds for reversal of summary judgment decisions.  </w:t>
      </w:r>
      <w:r>
        <w:rPr>
          <w:i/>
        </w:rPr>
        <w:t xml:space="preserve">See </w:t>
      </w:r>
      <w:r>
        <w:rPr>
          <w:u w:val="single"/>
        </w:rPr>
        <w:t>CSX Transp., Inc. v. Pasco County</w:t>
      </w:r>
      <w:r>
        <w:t xml:space="preserve">, 660 So. </w:t>
      </w:r>
      <w:proofErr w:type="gramStart"/>
      <w:r>
        <w:t xml:space="preserve">2d 757 (Fla. 2d DCA 1995) (reversing summary judgment </w:t>
      </w:r>
      <w:r w:rsidR="004E070E">
        <w:t xml:space="preserve">granted </w:t>
      </w:r>
      <w:r>
        <w:t xml:space="preserve">below where </w:t>
      </w:r>
      <w:r w:rsidR="004E070E">
        <w:t xml:space="preserve">the </w:t>
      </w:r>
      <w:r>
        <w:t>affiant based statements on reports but failed to attach same to the affidavit.)</w:t>
      </w:r>
      <w:proofErr w:type="gramEnd"/>
    </w:p>
    <w:p w:rsidR="00083A1C" w:rsidRPr="00083A1C" w:rsidRDefault="00083A1C" w:rsidP="00083A1C">
      <w:pPr>
        <w:pStyle w:val="ListParagraph"/>
        <w:spacing w:line="480" w:lineRule="auto"/>
        <w:ind w:left="0"/>
        <w:jc w:val="both"/>
      </w:pPr>
      <w:r>
        <w:tab/>
        <w:t xml:space="preserve">As previously demonstrated, Spradling referred to books, records, and documents kept by Litton which allegedly concerned the transaction referred to in the Complaint against the Defendant.  Nevertheless, as previously demonstrated, Spradling has not attached any of these books, records or documents.  This failure to do so is a violation of Fla. R. Civ. Pro. 1.510(e) and is grounds for a reversal of a summary judgment decision in favor of the Plaintiff.  Therefore, </w:t>
      </w:r>
      <w:r w:rsidR="000F68FB">
        <w:t>the Affidavit</w:t>
      </w:r>
      <w:r>
        <w:t xml:space="preserve"> should be struck in whole.</w:t>
      </w:r>
    </w:p>
    <w:p w:rsidR="00AB42B7" w:rsidRDefault="00083A1C" w:rsidP="00AB42B7">
      <w:pPr>
        <w:pStyle w:val="ListParagraph"/>
        <w:numPr>
          <w:ilvl w:val="0"/>
          <w:numId w:val="2"/>
        </w:numPr>
        <w:spacing w:line="480" w:lineRule="auto"/>
        <w:jc w:val="both"/>
        <w:rPr>
          <w:b/>
        </w:rPr>
      </w:pPr>
      <w:r>
        <w:rPr>
          <w:b/>
        </w:rPr>
        <w:t>Affidavit Was Not</w:t>
      </w:r>
      <w:r w:rsidR="00126786">
        <w:rPr>
          <w:b/>
        </w:rPr>
        <w:t xml:space="preserve"> Based Upon </w:t>
      </w:r>
      <w:r w:rsidR="00AB42B7">
        <w:rPr>
          <w:b/>
        </w:rPr>
        <w:t>Spradling’</w:t>
      </w:r>
      <w:r w:rsidR="00126786">
        <w:rPr>
          <w:b/>
        </w:rPr>
        <w:t xml:space="preserve">s </w:t>
      </w:r>
      <w:r w:rsidR="00126786">
        <w:rPr>
          <w:b/>
          <w:u w:val="single"/>
        </w:rPr>
        <w:t>Personal Knowledge</w:t>
      </w:r>
    </w:p>
    <w:p w:rsidR="00AB42B7" w:rsidRDefault="00AF1F31" w:rsidP="00AF1F31">
      <w:pPr>
        <w:spacing w:line="480" w:lineRule="auto"/>
        <w:ind w:firstLine="720"/>
        <w:jc w:val="both"/>
        <w:rPr>
          <w:rFonts w:eastAsia="Times New Roman" w:cs="Times New Roman"/>
          <w:szCs w:val="24"/>
        </w:rPr>
      </w:pPr>
      <w:r>
        <w:lastRenderedPageBreak/>
        <w:t xml:space="preserve">As a threshold matter, the admissibility of an affidavit rests upon the affiant having personal knowledge as to the matters stated therein.  </w:t>
      </w:r>
      <w:r>
        <w:rPr>
          <w:i/>
        </w:rPr>
        <w:t>See</w:t>
      </w:r>
      <w:r>
        <w:t xml:space="preserve"> Fla. R. Civ. Pro. 1.510(e) (reading, in pertinent part, that “affidavits shall be made on personal knowledge”); </w:t>
      </w:r>
      <w:r>
        <w:rPr>
          <w:rFonts w:cs="Times New Roman"/>
          <w:color w:val="000000"/>
          <w:szCs w:val="24"/>
          <w:u w:val="single"/>
        </w:rPr>
        <w:t xml:space="preserve">Enterprise Leasing Co. v. </w:t>
      </w:r>
      <w:proofErr w:type="spellStart"/>
      <w:r>
        <w:rPr>
          <w:rFonts w:cs="Times New Roman"/>
          <w:color w:val="000000"/>
          <w:szCs w:val="24"/>
          <w:u w:val="single"/>
        </w:rPr>
        <w:t>Demartino</w:t>
      </w:r>
      <w:proofErr w:type="spellEnd"/>
      <w:r>
        <w:rPr>
          <w:rFonts w:cs="Times New Roman"/>
          <w:color w:val="000000"/>
          <w:szCs w:val="24"/>
        </w:rPr>
        <w:t xml:space="preserve">, 15 So. 3d 711 (Fla. 2d DCA 2009); </w:t>
      </w:r>
      <w:r>
        <w:rPr>
          <w:rFonts w:cs="Times New Roman"/>
          <w:color w:val="000000"/>
          <w:szCs w:val="24"/>
          <w:u w:val="single"/>
        </w:rPr>
        <w:t xml:space="preserve">West Edge II v. </w:t>
      </w:r>
      <w:proofErr w:type="spellStart"/>
      <w:r>
        <w:rPr>
          <w:rFonts w:cs="Times New Roman"/>
          <w:color w:val="000000"/>
          <w:szCs w:val="24"/>
          <w:u w:val="single"/>
        </w:rPr>
        <w:t>Kunderas</w:t>
      </w:r>
      <w:proofErr w:type="spellEnd"/>
      <w:r>
        <w:rPr>
          <w:rFonts w:cs="Times New Roman"/>
          <w:color w:val="000000"/>
          <w:szCs w:val="24"/>
        </w:rPr>
        <w:t xml:space="preserve">, 910 So. </w:t>
      </w:r>
      <w:proofErr w:type="gramStart"/>
      <w:r>
        <w:rPr>
          <w:rFonts w:cs="Times New Roman"/>
          <w:color w:val="000000"/>
          <w:szCs w:val="24"/>
        </w:rPr>
        <w:t xml:space="preserve">2d 953 (Fla. 2d DCA 2005); </w:t>
      </w:r>
      <w:r w:rsidRPr="00AF1F31">
        <w:rPr>
          <w:rFonts w:cs="Times New Roman"/>
          <w:color w:val="000000"/>
          <w:szCs w:val="24"/>
          <w:u w:val="single"/>
        </w:rPr>
        <w:t>In r</w:t>
      </w:r>
      <w:r>
        <w:rPr>
          <w:rFonts w:cs="Times New Roman"/>
          <w:color w:val="000000"/>
          <w:szCs w:val="24"/>
          <w:u w:val="single"/>
        </w:rPr>
        <w:t xml:space="preserve">e </w:t>
      </w:r>
      <w:proofErr w:type="spellStart"/>
      <w:r>
        <w:rPr>
          <w:rFonts w:cs="Times New Roman"/>
          <w:color w:val="000000"/>
          <w:szCs w:val="24"/>
          <w:u w:val="single"/>
        </w:rPr>
        <w:t>Forefeiture</w:t>
      </w:r>
      <w:proofErr w:type="spellEnd"/>
      <w:r>
        <w:rPr>
          <w:rFonts w:cs="Times New Roman"/>
          <w:color w:val="000000"/>
          <w:szCs w:val="24"/>
          <w:u w:val="single"/>
        </w:rPr>
        <w:t xml:space="preserve"> of 1998 Ford Pickup, Identification No. 1FTZX1767WNA34547</w:t>
      </w:r>
      <w:r>
        <w:rPr>
          <w:rFonts w:cs="Times New Roman"/>
          <w:color w:val="000000"/>
          <w:szCs w:val="24"/>
        </w:rPr>
        <w:t>, 779 So.</w:t>
      </w:r>
      <w:proofErr w:type="gramEnd"/>
      <w:r>
        <w:rPr>
          <w:rFonts w:cs="Times New Roman"/>
          <w:color w:val="000000"/>
          <w:szCs w:val="24"/>
        </w:rPr>
        <w:t xml:space="preserve"> </w:t>
      </w:r>
      <w:proofErr w:type="gramStart"/>
      <w:r>
        <w:rPr>
          <w:rFonts w:cs="Times New Roman"/>
          <w:color w:val="000000"/>
          <w:szCs w:val="24"/>
        </w:rPr>
        <w:t>2d 450 (Fla. 2d DCA 2000).</w:t>
      </w:r>
      <w:proofErr w:type="gramEnd"/>
      <w:r>
        <w:rPr>
          <w:rFonts w:cs="Times New Roman"/>
          <w:color w:val="000000"/>
          <w:szCs w:val="24"/>
        </w:rPr>
        <w:t xml:space="preserve">  Additionally, </w:t>
      </w:r>
      <w:r>
        <w:rPr>
          <w:rFonts w:eastAsia="Times New Roman" w:cs="Times New Roman"/>
          <w:szCs w:val="24"/>
        </w:rPr>
        <w:t xml:space="preserve">a corporate officer’s affidavit which merely states conclusions or opinion is not sufficient, even if it is based on personal knowledge.  </w:t>
      </w:r>
      <w:proofErr w:type="spellStart"/>
      <w:proofErr w:type="gramStart"/>
      <w:r>
        <w:rPr>
          <w:rFonts w:eastAsia="Times New Roman" w:cs="Times New Roman"/>
          <w:szCs w:val="24"/>
          <w:u w:val="single"/>
        </w:rPr>
        <w:t>Nour</w:t>
      </w:r>
      <w:proofErr w:type="spellEnd"/>
      <w:r>
        <w:rPr>
          <w:rFonts w:eastAsia="Times New Roman" w:cs="Times New Roman"/>
          <w:szCs w:val="24"/>
          <w:u w:val="single"/>
        </w:rPr>
        <w:t xml:space="preserve"> v.</w:t>
      </w:r>
      <w:proofErr w:type="gramEnd"/>
      <w:r>
        <w:rPr>
          <w:rFonts w:eastAsia="Times New Roman" w:cs="Times New Roman"/>
          <w:szCs w:val="24"/>
          <w:u w:val="single"/>
        </w:rPr>
        <w:t xml:space="preserve"> All State Supply Co.</w:t>
      </w:r>
      <w:r>
        <w:rPr>
          <w:rFonts w:eastAsia="Times New Roman" w:cs="Times New Roman"/>
          <w:szCs w:val="24"/>
        </w:rPr>
        <w:t xml:space="preserve">, So. </w:t>
      </w:r>
      <w:proofErr w:type="gramStart"/>
      <w:r>
        <w:rPr>
          <w:rFonts w:eastAsia="Times New Roman" w:cs="Times New Roman"/>
          <w:szCs w:val="24"/>
        </w:rPr>
        <w:t>2d 1204, 1205 (Fla. 1st DCA 1986).</w:t>
      </w:r>
      <w:proofErr w:type="gramEnd"/>
    </w:p>
    <w:p w:rsidR="00AF1F31" w:rsidRDefault="00AF1F31" w:rsidP="00AF1F31">
      <w:pPr>
        <w:spacing w:line="480" w:lineRule="auto"/>
        <w:ind w:firstLine="720"/>
        <w:jc w:val="both"/>
        <w:rPr>
          <w:rFonts w:eastAsia="Times New Roman" w:cs="Times New Roman"/>
          <w:szCs w:val="24"/>
        </w:rPr>
      </w:pPr>
      <w:proofErr w:type="gramStart"/>
      <w:r>
        <w:rPr>
          <w:rFonts w:eastAsia="Times New Roman" w:cs="Times New Roman"/>
          <w:szCs w:val="24"/>
        </w:rPr>
        <w:t xml:space="preserve">The Third District, in </w:t>
      </w:r>
      <w:r w:rsidRPr="00E13A76">
        <w:rPr>
          <w:rFonts w:eastAsia="Times New Roman" w:cs="Times New Roman"/>
          <w:szCs w:val="24"/>
          <w:u w:val="single"/>
        </w:rPr>
        <w:t>Alvarez v. Florida Ins. Guaranty Association</w:t>
      </w:r>
      <w:r w:rsidRPr="00E13A76">
        <w:rPr>
          <w:rFonts w:eastAsia="Times New Roman" w:cs="Times New Roman"/>
          <w:szCs w:val="24"/>
        </w:rPr>
        <w:t>, 661 So.</w:t>
      </w:r>
      <w:proofErr w:type="gramEnd"/>
      <w:r w:rsidRPr="00E13A76">
        <w:rPr>
          <w:rFonts w:eastAsia="Times New Roman" w:cs="Times New Roman"/>
          <w:szCs w:val="24"/>
        </w:rPr>
        <w:t xml:space="preserve"> 2d 1230 (Fla. 3d DCA 1995)</w:t>
      </w:r>
      <w:r w:rsidR="004E070E">
        <w:rPr>
          <w:rFonts w:eastAsia="Times New Roman" w:cs="Times New Roman"/>
          <w:szCs w:val="24"/>
        </w:rPr>
        <w:t>,</w:t>
      </w:r>
      <w:r w:rsidR="0071797C">
        <w:rPr>
          <w:rFonts w:eastAsia="Times New Roman" w:cs="Times New Roman"/>
          <w:szCs w:val="24"/>
        </w:rPr>
        <w:t xml:space="preserve"> noted that “</w:t>
      </w:r>
      <w:r w:rsidR="0071797C" w:rsidRPr="00E13A76">
        <w:rPr>
          <w:rFonts w:eastAsia="Times New Roman" w:cs="Times New Roman"/>
          <w:szCs w:val="24"/>
        </w:rPr>
        <w:t>the purpose of the personal know</w:t>
      </w:r>
      <w:r w:rsidR="0071797C">
        <w:rPr>
          <w:rFonts w:eastAsia="Times New Roman" w:cs="Times New Roman"/>
          <w:szCs w:val="24"/>
        </w:rPr>
        <w:t xml:space="preserve">ledge requirement is to prevent </w:t>
      </w:r>
      <w:r w:rsidR="0071797C" w:rsidRPr="00E13A76">
        <w:rPr>
          <w:rFonts w:eastAsia="Times New Roman" w:cs="Times New Roman"/>
          <w:szCs w:val="24"/>
        </w:rPr>
        <w:t>the trial court from relying on hearsay when ruling on a motion for summary judgment and to ensure that there is an admissible evidentiary basis for the case rather t</w:t>
      </w:r>
      <w:r w:rsidR="0071797C">
        <w:rPr>
          <w:rFonts w:eastAsia="Times New Roman" w:cs="Times New Roman"/>
          <w:szCs w:val="24"/>
        </w:rPr>
        <w:t>han mere supposition or belief.”</w:t>
      </w:r>
      <w:r w:rsidR="0071797C" w:rsidRPr="00E13A76">
        <w:rPr>
          <w:rFonts w:eastAsia="Times New Roman" w:cs="Times New Roman"/>
          <w:szCs w:val="24"/>
        </w:rPr>
        <w:t xml:space="preserve">  </w:t>
      </w:r>
      <w:r w:rsidR="0071797C" w:rsidRPr="00E13A76">
        <w:rPr>
          <w:rFonts w:eastAsia="Times New Roman" w:cs="Times New Roman"/>
          <w:szCs w:val="24"/>
          <w:u w:val="single"/>
        </w:rPr>
        <w:t>Id</w:t>
      </w:r>
      <w:r w:rsidR="0071797C" w:rsidRPr="00E13A76">
        <w:rPr>
          <w:rFonts w:eastAsia="Times New Roman" w:cs="Times New Roman"/>
          <w:szCs w:val="24"/>
        </w:rPr>
        <w:t xml:space="preserve"> at 1232 (quoting </w:t>
      </w:r>
      <w:proofErr w:type="spellStart"/>
      <w:r w:rsidR="0071797C" w:rsidRPr="00E13A76">
        <w:rPr>
          <w:rFonts w:eastAsia="Times New Roman" w:cs="Times New Roman"/>
          <w:szCs w:val="24"/>
          <w:u w:val="single"/>
        </w:rPr>
        <w:t>Pawlik</w:t>
      </w:r>
      <w:proofErr w:type="spellEnd"/>
      <w:r w:rsidR="0071797C" w:rsidRPr="00E13A76">
        <w:rPr>
          <w:rFonts w:eastAsia="Times New Roman" w:cs="Times New Roman"/>
          <w:szCs w:val="24"/>
          <w:u w:val="single"/>
        </w:rPr>
        <w:t xml:space="preserve"> v. Barnett Bank of Columbia County</w:t>
      </w:r>
      <w:r w:rsidR="0071797C" w:rsidRPr="00E13A76">
        <w:rPr>
          <w:rFonts w:eastAsia="Times New Roman" w:cs="Times New Roman"/>
          <w:szCs w:val="24"/>
        </w:rPr>
        <w:t>, 528 So. 2d 965, 966 (Fla. 1st DCA 1988)).</w:t>
      </w:r>
      <w:r w:rsidR="0071797C">
        <w:rPr>
          <w:rFonts w:eastAsia="Times New Roman" w:cs="Times New Roman"/>
          <w:szCs w:val="24"/>
        </w:rPr>
        <w:t xml:space="preserve">  This opposition to hearsay evidence has deep roots in Florida common law.  In </w:t>
      </w:r>
      <w:proofErr w:type="spellStart"/>
      <w:r w:rsidR="0071797C">
        <w:rPr>
          <w:rFonts w:eastAsia="Times New Roman" w:cs="Times New Roman"/>
          <w:szCs w:val="24"/>
          <w:u w:val="single"/>
        </w:rPr>
        <w:t>Capello</w:t>
      </w:r>
      <w:proofErr w:type="spellEnd"/>
      <w:r w:rsidR="0071797C">
        <w:rPr>
          <w:rFonts w:eastAsia="Times New Roman" w:cs="Times New Roman"/>
          <w:szCs w:val="24"/>
          <w:u w:val="single"/>
        </w:rPr>
        <w:t xml:space="preserve"> v. Flea Market U.S.A., Inc.</w:t>
      </w:r>
      <w:r w:rsidR="0071797C">
        <w:rPr>
          <w:rFonts w:eastAsia="Times New Roman" w:cs="Times New Roman"/>
          <w:szCs w:val="24"/>
        </w:rPr>
        <w:t xml:space="preserve">, 625 So. 2d 474 (Fla. 3d DCA 1993), the Third District affirmed an order of summary judgment in favor of Flea Market U.S.A as </w:t>
      </w:r>
      <w:proofErr w:type="spellStart"/>
      <w:r w:rsidR="0071797C">
        <w:rPr>
          <w:rFonts w:eastAsia="Times New Roman" w:cs="Times New Roman"/>
          <w:szCs w:val="24"/>
        </w:rPr>
        <w:t>Capello’s</w:t>
      </w:r>
      <w:proofErr w:type="spellEnd"/>
      <w:r w:rsidR="0071797C">
        <w:rPr>
          <w:rFonts w:eastAsia="Times New Roman" w:cs="Times New Roman"/>
          <w:szCs w:val="24"/>
        </w:rPr>
        <w:t xml:space="preserve"> affidavit in opposition was not based upon personal knowledge and therefore contained inadmissible hearsay evidence.  </w:t>
      </w:r>
      <w:r w:rsidR="0071797C">
        <w:rPr>
          <w:rFonts w:eastAsia="Times New Roman" w:cs="Times New Roman"/>
          <w:i/>
          <w:szCs w:val="24"/>
        </w:rPr>
        <w:t>See also</w:t>
      </w:r>
      <w:r w:rsidR="0071797C">
        <w:rPr>
          <w:rFonts w:eastAsia="Times New Roman" w:cs="Times New Roman"/>
          <w:szCs w:val="24"/>
        </w:rPr>
        <w:t xml:space="preserve"> </w:t>
      </w:r>
      <w:r w:rsidR="0071797C">
        <w:rPr>
          <w:rFonts w:eastAsia="Times New Roman" w:cs="Times New Roman"/>
          <w:szCs w:val="24"/>
          <w:u w:val="single"/>
        </w:rPr>
        <w:t>Doss v. Steger &amp; Steger, P.A.</w:t>
      </w:r>
      <w:r w:rsidR="0071797C">
        <w:rPr>
          <w:rFonts w:eastAsia="Times New Roman" w:cs="Times New Roman"/>
          <w:szCs w:val="24"/>
        </w:rPr>
        <w:t xml:space="preserve">, </w:t>
      </w:r>
      <w:proofErr w:type="gramStart"/>
      <w:r w:rsidR="0071797C">
        <w:rPr>
          <w:rFonts w:eastAsia="Times New Roman" w:cs="Times New Roman"/>
          <w:szCs w:val="24"/>
        </w:rPr>
        <w:t>613</w:t>
      </w:r>
      <w:proofErr w:type="gramEnd"/>
      <w:r w:rsidR="0071797C">
        <w:rPr>
          <w:rFonts w:eastAsia="Times New Roman" w:cs="Times New Roman"/>
          <w:szCs w:val="24"/>
        </w:rPr>
        <w:t xml:space="preserve"> So. </w:t>
      </w:r>
      <w:proofErr w:type="gramStart"/>
      <w:r w:rsidR="0071797C">
        <w:rPr>
          <w:rFonts w:eastAsia="Times New Roman" w:cs="Times New Roman"/>
          <w:szCs w:val="24"/>
        </w:rPr>
        <w:t xml:space="preserve">2d 136 (Fla. 4th DCA 1993); </w:t>
      </w:r>
      <w:proofErr w:type="spellStart"/>
      <w:r w:rsidR="0071797C">
        <w:rPr>
          <w:rFonts w:eastAsia="Times New Roman" w:cs="Times New Roman"/>
          <w:szCs w:val="24"/>
          <w:u w:val="single"/>
        </w:rPr>
        <w:t>Mullan</w:t>
      </w:r>
      <w:proofErr w:type="spellEnd"/>
      <w:r w:rsidR="0071797C">
        <w:rPr>
          <w:rFonts w:eastAsia="Times New Roman" w:cs="Times New Roman"/>
          <w:szCs w:val="24"/>
          <w:u w:val="single"/>
        </w:rPr>
        <w:t xml:space="preserve"> v. Bishop of Diocese of Orlando</w:t>
      </w:r>
      <w:r w:rsidR="0071797C">
        <w:rPr>
          <w:rFonts w:eastAsia="Times New Roman" w:cs="Times New Roman"/>
          <w:szCs w:val="24"/>
        </w:rPr>
        <w:t>, 540 So.</w:t>
      </w:r>
      <w:proofErr w:type="gramEnd"/>
      <w:r w:rsidR="0071797C">
        <w:rPr>
          <w:rFonts w:eastAsia="Times New Roman" w:cs="Times New Roman"/>
          <w:szCs w:val="24"/>
        </w:rPr>
        <w:t xml:space="preserve"> </w:t>
      </w:r>
      <w:proofErr w:type="gramStart"/>
      <w:r w:rsidR="0071797C">
        <w:rPr>
          <w:rFonts w:eastAsia="Times New Roman" w:cs="Times New Roman"/>
          <w:szCs w:val="24"/>
        </w:rPr>
        <w:t xml:space="preserve">2d 174 (Fla. 5th DCA 1989); </w:t>
      </w:r>
      <w:r w:rsidR="0071797C" w:rsidRPr="00A843B0">
        <w:rPr>
          <w:rFonts w:eastAsia="Times New Roman" w:cs="Times New Roman"/>
          <w:szCs w:val="24"/>
          <w:u w:val="single"/>
        </w:rPr>
        <w:t xml:space="preserve">Crosby v. </w:t>
      </w:r>
      <w:proofErr w:type="spellStart"/>
      <w:r w:rsidR="0071797C" w:rsidRPr="00A843B0">
        <w:rPr>
          <w:rFonts w:eastAsia="Times New Roman" w:cs="Times New Roman"/>
          <w:szCs w:val="24"/>
          <w:u w:val="single"/>
        </w:rPr>
        <w:t>Paxson</w:t>
      </w:r>
      <w:proofErr w:type="spellEnd"/>
      <w:r w:rsidR="0071797C" w:rsidRPr="00A843B0">
        <w:rPr>
          <w:rFonts w:eastAsia="Times New Roman" w:cs="Times New Roman"/>
          <w:szCs w:val="24"/>
          <w:u w:val="single"/>
        </w:rPr>
        <w:t xml:space="preserve"> Electric Company</w:t>
      </w:r>
      <w:r w:rsidR="0071797C">
        <w:rPr>
          <w:rFonts w:eastAsia="Times New Roman" w:cs="Times New Roman"/>
          <w:szCs w:val="24"/>
        </w:rPr>
        <w:t>, 534 So.</w:t>
      </w:r>
      <w:proofErr w:type="gramEnd"/>
      <w:r w:rsidR="0071797C">
        <w:rPr>
          <w:rFonts w:eastAsia="Times New Roman" w:cs="Times New Roman"/>
          <w:szCs w:val="24"/>
        </w:rPr>
        <w:t xml:space="preserve"> </w:t>
      </w:r>
      <w:proofErr w:type="gramStart"/>
      <w:r w:rsidR="0071797C">
        <w:rPr>
          <w:rFonts w:eastAsia="Times New Roman" w:cs="Times New Roman"/>
          <w:szCs w:val="24"/>
        </w:rPr>
        <w:t xml:space="preserve">2d 787 (Fla. 1st DCA 1988); </w:t>
      </w:r>
      <w:r w:rsidR="0071797C">
        <w:rPr>
          <w:rFonts w:eastAsia="Times New Roman" w:cs="Times New Roman"/>
          <w:szCs w:val="24"/>
          <w:u w:val="single"/>
        </w:rPr>
        <w:t>Page v. Stanley</w:t>
      </w:r>
      <w:r w:rsidR="0071797C">
        <w:rPr>
          <w:rFonts w:eastAsia="Times New Roman" w:cs="Times New Roman"/>
          <w:szCs w:val="24"/>
        </w:rPr>
        <w:t>, 226 So.</w:t>
      </w:r>
      <w:proofErr w:type="gramEnd"/>
      <w:r w:rsidR="0071797C">
        <w:rPr>
          <w:rFonts w:eastAsia="Times New Roman" w:cs="Times New Roman"/>
          <w:szCs w:val="24"/>
        </w:rPr>
        <w:t xml:space="preserve"> </w:t>
      </w:r>
      <w:proofErr w:type="gramStart"/>
      <w:r w:rsidR="0071797C">
        <w:rPr>
          <w:rFonts w:eastAsia="Times New Roman" w:cs="Times New Roman"/>
          <w:szCs w:val="24"/>
        </w:rPr>
        <w:t>2d 129 (Fla. 4th DCA 1969).</w:t>
      </w:r>
      <w:proofErr w:type="gramEnd"/>
      <w:r w:rsidR="0071797C">
        <w:rPr>
          <w:rFonts w:eastAsia="Times New Roman" w:cs="Times New Roman"/>
          <w:szCs w:val="24"/>
        </w:rPr>
        <w:t xml:space="preserve">  Thus, there is ample precedent for striking affidavits in full which are not based upon the affiant’s personal knowledge.</w:t>
      </w:r>
    </w:p>
    <w:p w:rsidR="00283F14" w:rsidRDefault="0071797C" w:rsidP="00AF1F31">
      <w:pPr>
        <w:spacing w:line="480" w:lineRule="auto"/>
        <w:ind w:firstLine="720"/>
        <w:jc w:val="both"/>
        <w:rPr>
          <w:rFonts w:eastAsia="Times New Roman" w:cs="Times New Roman"/>
          <w:szCs w:val="24"/>
        </w:rPr>
      </w:pPr>
      <w:r>
        <w:rPr>
          <w:rFonts w:eastAsia="Times New Roman" w:cs="Times New Roman"/>
          <w:szCs w:val="24"/>
        </w:rPr>
        <w:lastRenderedPageBreak/>
        <w:t xml:space="preserve">Here, </w:t>
      </w:r>
      <w:r w:rsidR="000F68FB">
        <w:rPr>
          <w:rFonts w:eastAsia="Times New Roman" w:cs="Times New Roman"/>
          <w:szCs w:val="24"/>
        </w:rPr>
        <w:t>the entire A</w:t>
      </w:r>
      <w:r>
        <w:rPr>
          <w:rFonts w:eastAsia="Times New Roman" w:cs="Times New Roman"/>
          <w:szCs w:val="24"/>
        </w:rPr>
        <w:t>ff</w:t>
      </w:r>
      <w:r w:rsidR="000F68FB">
        <w:rPr>
          <w:rFonts w:eastAsia="Times New Roman" w:cs="Times New Roman"/>
          <w:szCs w:val="24"/>
        </w:rPr>
        <w:t>idavit is hearsay evidence as Spradling</w:t>
      </w:r>
      <w:r>
        <w:rPr>
          <w:rFonts w:eastAsia="Times New Roman" w:cs="Times New Roman"/>
          <w:szCs w:val="24"/>
        </w:rPr>
        <w:t xml:space="preserve"> has absolutely no personal knowledge of the facts stated therein.  As an employee of Litton, which purports to be the </w:t>
      </w:r>
      <w:r>
        <w:rPr>
          <w:rFonts w:eastAsia="Times New Roman" w:cs="Times New Roman"/>
          <w:szCs w:val="24"/>
          <w:u w:val="single"/>
        </w:rPr>
        <w:t>servicer of the loan</w:t>
      </w:r>
      <w:r>
        <w:rPr>
          <w:rFonts w:eastAsia="Times New Roman" w:cs="Times New Roman"/>
          <w:szCs w:val="24"/>
        </w:rPr>
        <w:t xml:space="preserve">, he has no knowledge of the underlying transaction between the Plaintiff and the Defendant.  Neither Spradling nor Litton: (1) were engaged by the Plaintiff for the purpose of executing the underlying mortgage transaction with the Defendant; or (2) had any contact with the Defendant with respect to the underlying transaction between the Plaintiff and Defendant.  </w:t>
      </w:r>
      <w:r w:rsidR="000F68FB">
        <w:rPr>
          <w:rFonts w:eastAsia="Times New Roman" w:cs="Times New Roman"/>
          <w:szCs w:val="24"/>
        </w:rPr>
        <w:t>In addition, the Affidavit fails to set forth with any degree of specificity what duties Litton performs for the Plaintiff, save for one line which states that Litton “is responsible for the collection of this loan transaction and pursuit of any delinquency in payments.”</w:t>
      </w:r>
      <w:r w:rsidR="00D60AF4">
        <w:rPr>
          <w:rStyle w:val="FootnoteReference"/>
          <w:rFonts w:eastAsia="Times New Roman" w:cs="Times New Roman"/>
          <w:szCs w:val="24"/>
        </w:rPr>
        <w:footnoteReference w:id="7"/>
      </w:r>
      <w:r w:rsidR="000F68FB">
        <w:rPr>
          <w:rFonts w:eastAsia="Times New Roman" w:cs="Times New Roman"/>
          <w:szCs w:val="24"/>
        </w:rPr>
        <w:t xml:space="preserve">  </w:t>
      </w:r>
      <w:r>
        <w:rPr>
          <w:rFonts w:eastAsia="Times New Roman" w:cs="Times New Roman"/>
          <w:szCs w:val="24"/>
        </w:rPr>
        <w:t xml:space="preserve">At best, Litton acted </w:t>
      </w:r>
      <w:r w:rsidR="00283F14">
        <w:rPr>
          <w:rFonts w:eastAsia="Times New Roman" w:cs="Times New Roman"/>
          <w:szCs w:val="24"/>
        </w:rPr>
        <w:t xml:space="preserve">as a middleman of sorts, whose primary function was to </w:t>
      </w:r>
      <w:r w:rsidR="00283F14">
        <w:t>transfer of funds between the various assignees of the underlying Mortgage and Note</w:t>
      </w:r>
      <w:r w:rsidR="00283F14">
        <w:rPr>
          <w:rFonts w:eastAsia="Times New Roman" w:cs="Times New Roman"/>
          <w:szCs w:val="24"/>
        </w:rPr>
        <w:t xml:space="preserve">.  Litton is </w:t>
      </w:r>
      <w:r w:rsidR="00283F14">
        <w:rPr>
          <w:rFonts w:eastAsia="Times New Roman" w:cs="Times New Roman"/>
          <w:szCs w:val="24"/>
          <w:u w:val="single"/>
        </w:rPr>
        <w:t>not</w:t>
      </w:r>
      <w:r w:rsidR="00283F14">
        <w:rPr>
          <w:rFonts w:eastAsia="Times New Roman" w:cs="Times New Roman"/>
          <w:szCs w:val="24"/>
        </w:rPr>
        <w:t xml:space="preserve"> the named Plaintiff in this case, nor does </w:t>
      </w:r>
      <w:r w:rsidR="00D60AF4">
        <w:rPr>
          <w:rFonts w:eastAsia="Times New Roman" w:cs="Times New Roman"/>
          <w:szCs w:val="24"/>
        </w:rPr>
        <w:t>the Affidavit</w:t>
      </w:r>
      <w:r w:rsidR="00081451">
        <w:rPr>
          <w:rFonts w:eastAsia="Times New Roman" w:cs="Times New Roman"/>
          <w:szCs w:val="24"/>
        </w:rPr>
        <w:t xml:space="preserve"> aver</w:t>
      </w:r>
      <w:r w:rsidR="00283F14">
        <w:rPr>
          <w:rFonts w:eastAsia="Times New Roman" w:cs="Times New Roman"/>
          <w:szCs w:val="24"/>
        </w:rPr>
        <w:t xml:space="preserve"> that</w:t>
      </w:r>
      <w:r w:rsidR="00D60AF4">
        <w:rPr>
          <w:rFonts w:eastAsia="Times New Roman" w:cs="Times New Roman"/>
          <w:szCs w:val="24"/>
        </w:rPr>
        <w:t xml:space="preserve"> either Spradling</w:t>
      </w:r>
      <w:r w:rsidR="00081451">
        <w:rPr>
          <w:rFonts w:eastAsia="Times New Roman" w:cs="Times New Roman"/>
          <w:szCs w:val="24"/>
        </w:rPr>
        <w:t xml:space="preserve"> or</w:t>
      </w:r>
      <w:r w:rsidR="00283F14">
        <w:rPr>
          <w:rFonts w:eastAsia="Times New Roman" w:cs="Times New Roman"/>
          <w:szCs w:val="24"/>
        </w:rPr>
        <w:t xml:space="preserve"> Litton is the agent of the Plaintiff.</w:t>
      </w:r>
    </w:p>
    <w:p w:rsidR="00136B07" w:rsidRDefault="00283F14" w:rsidP="00AF1F31">
      <w:pPr>
        <w:spacing w:line="480" w:lineRule="auto"/>
        <w:ind w:firstLine="720"/>
        <w:jc w:val="both"/>
        <w:rPr>
          <w:rFonts w:eastAsia="Times New Roman" w:cs="Times New Roman"/>
          <w:szCs w:val="24"/>
        </w:rPr>
      </w:pPr>
      <w:r>
        <w:rPr>
          <w:rFonts w:eastAsia="Times New Roman" w:cs="Times New Roman"/>
          <w:szCs w:val="24"/>
        </w:rPr>
        <w:t>Because Spradling has no personal knowledge of the underlying transaction between the Plaintiff and Defendant, any statement he gives which references this underlying transaction (such as the fact that the Plaintiff</w:t>
      </w:r>
      <w:r w:rsidR="004E070E">
        <w:rPr>
          <w:rFonts w:eastAsia="Times New Roman" w:cs="Times New Roman"/>
          <w:szCs w:val="24"/>
        </w:rPr>
        <w:t xml:space="preserve"> is allegedly owed sums of monies</w:t>
      </w:r>
      <w:r>
        <w:rPr>
          <w:rFonts w:eastAsia="Times New Roman" w:cs="Times New Roman"/>
          <w:szCs w:val="24"/>
        </w:rPr>
        <w:t xml:space="preserve"> in exces</w:t>
      </w:r>
      <w:r w:rsidR="00081451">
        <w:rPr>
          <w:rFonts w:eastAsia="Times New Roman" w:cs="Times New Roman"/>
          <w:szCs w:val="24"/>
        </w:rPr>
        <w:t>s of $400,000</w:t>
      </w:r>
      <w:r>
        <w:rPr>
          <w:rFonts w:eastAsia="Times New Roman" w:cs="Times New Roman"/>
          <w:szCs w:val="24"/>
        </w:rPr>
        <w:t>) is, by its very nature, hearsay.  The Florida Rules of Evidence define hearsay as “a statement, othe</w:t>
      </w:r>
      <w:r w:rsidR="00554005">
        <w:rPr>
          <w:rFonts w:eastAsia="Times New Roman" w:cs="Times New Roman"/>
          <w:szCs w:val="24"/>
        </w:rPr>
        <w:t xml:space="preserve">r than one made by the </w:t>
      </w:r>
      <w:proofErr w:type="spellStart"/>
      <w:r w:rsidR="00554005">
        <w:rPr>
          <w:rFonts w:eastAsia="Times New Roman" w:cs="Times New Roman"/>
          <w:szCs w:val="24"/>
        </w:rPr>
        <w:t>declarant</w:t>
      </w:r>
      <w:proofErr w:type="spellEnd"/>
      <w:r w:rsidR="00554005">
        <w:rPr>
          <w:rFonts w:eastAsia="Times New Roman" w:cs="Times New Roman"/>
          <w:szCs w:val="24"/>
        </w:rPr>
        <w:t xml:space="preserve"> while testifying at the trial or hearing, offered in evidence to prove the truth of the matter asserted.”  Fla. Stat. §90.801(1</w:t>
      </w:r>
      <w:proofErr w:type="gramStart"/>
      <w:r w:rsidR="00554005">
        <w:rPr>
          <w:rFonts w:eastAsia="Times New Roman" w:cs="Times New Roman"/>
          <w:szCs w:val="24"/>
        </w:rPr>
        <w:t>)(</w:t>
      </w:r>
      <w:proofErr w:type="gramEnd"/>
      <w:r w:rsidR="00554005">
        <w:rPr>
          <w:rFonts w:eastAsia="Times New Roman" w:cs="Times New Roman"/>
          <w:szCs w:val="24"/>
        </w:rPr>
        <w:t>c) (2007).  Here Spradling is averring</w:t>
      </w:r>
      <w:r w:rsidR="00081451">
        <w:rPr>
          <w:rFonts w:eastAsia="Times New Roman" w:cs="Times New Roman"/>
          <w:szCs w:val="24"/>
        </w:rPr>
        <w:t xml:space="preserve"> to a statement (that the Plaintiff is allegedly owed sums of money) which was made by someone other than himself (</w:t>
      </w:r>
      <w:r w:rsidR="000F68FB">
        <w:rPr>
          <w:rFonts w:eastAsia="Times New Roman" w:cs="Times New Roman"/>
          <w:szCs w:val="24"/>
        </w:rPr>
        <w:t xml:space="preserve">namely, </w:t>
      </w:r>
      <w:r w:rsidR="00081451">
        <w:rPr>
          <w:rFonts w:eastAsia="Times New Roman" w:cs="Times New Roman"/>
          <w:szCs w:val="24"/>
        </w:rPr>
        <w:t>the Plaintiff) and is offering this as proof of the matter asserted (that Plaintiff is entitled to enforce the Note and Mortgage and that Plaintiff is entitled to a judgment as a</w:t>
      </w:r>
      <w:r w:rsidR="00136B07">
        <w:rPr>
          <w:rFonts w:eastAsia="Times New Roman" w:cs="Times New Roman"/>
          <w:szCs w:val="24"/>
        </w:rPr>
        <w:t xml:space="preserve"> matter of law.)  At best, the only statements which Spradling can aver to are </w:t>
      </w:r>
      <w:r w:rsidR="00136B07">
        <w:rPr>
          <w:rFonts w:eastAsia="Times New Roman" w:cs="Times New Roman"/>
          <w:szCs w:val="24"/>
        </w:rPr>
        <w:lastRenderedPageBreak/>
        <w:t>those which regard the transfer of funds between the various assignees of the Mortgage and Note.</w:t>
      </w:r>
    </w:p>
    <w:p w:rsidR="00136B07" w:rsidRDefault="00136B07" w:rsidP="00AF1F31">
      <w:pPr>
        <w:spacing w:line="480" w:lineRule="auto"/>
        <w:ind w:firstLine="720"/>
        <w:jc w:val="both"/>
        <w:rPr>
          <w:rFonts w:eastAsia="Times New Roman" w:cs="Times New Roman"/>
          <w:szCs w:val="24"/>
        </w:rPr>
      </w:pPr>
      <w:r>
        <w:rPr>
          <w:rFonts w:eastAsia="Times New Roman" w:cs="Times New Roman"/>
          <w:szCs w:val="24"/>
        </w:rPr>
        <w:t xml:space="preserve">The Plaintiff may argue that while Spradling’s statements may be hearsay, they should nevertheless be admitted under the “Records of Regularly Conducted Business Activity” exception.  </w:t>
      </w:r>
      <w:proofErr w:type="gramStart"/>
      <w:r>
        <w:rPr>
          <w:rFonts w:eastAsia="Times New Roman" w:cs="Times New Roman"/>
          <w:szCs w:val="24"/>
        </w:rPr>
        <w:t>Fla. Stat. §90.803(6) (2007).</w:t>
      </w:r>
      <w:proofErr w:type="gramEnd"/>
      <w:r>
        <w:rPr>
          <w:rFonts w:eastAsia="Times New Roman" w:cs="Times New Roman"/>
          <w:szCs w:val="24"/>
        </w:rPr>
        <w:t xml:space="preserve">  This rule provides that notwithstanding the provision of §90.802</w:t>
      </w:r>
      <w:r w:rsidR="004E070E">
        <w:rPr>
          <w:rFonts w:eastAsia="Times New Roman" w:cs="Times New Roman"/>
          <w:szCs w:val="24"/>
        </w:rPr>
        <w:t xml:space="preserve"> (which renders hearsay statements inadmissible)</w:t>
      </w:r>
      <w:r>
        <w:rPr>
          <w:rFonts w:eastAsia="Times New Roman" w:cs="Times New Roman"/>
          <w:szCs w:val="24"/>
        </w:rPr>
        <w:t xml:space="preserve">, hearsay statements are not inadmissible, even though the </w:t>
      </w:r>
      <w:proofErr w:type="spellStart"/>
      <w:r>
        <w:rPr>
          <w:rFonts w:eastAsia="Times New Roman" w:cs="Times New Roman"/>
          <w:szCs w:val="24"/>
        </w:rPr>
        <w:t>declarant</w:t>
      </w:r>
      <w:proofErr w:type="spellEnd"/>
      <w:r>
        <w:rPr>
          <w:rFonts w:eastAsia="Times New Roman" w:cs="Times New Roman"/>
          <w:szCs w:val="24"/>
        </w:rPr>
        <w:t xml:space="preserve"> is available as a witness, if </w:t>
      </w:r>
      <w:r w:rsidR="00D60AF4">
        <w:rPr>
          <w:rFonts w:eastAsia="Times New Roman" w:cs="Times New Roman"/>
          <w:szCs w:val="24"/>
        </w:rPr>
        <w:t>the statement</w:t>
      </w:r>
      <w:r>
        <w:rPr>
          <w:rFonts w:eastAsia="Times New Roman" w:cs="Times New Roman"/>
          <w:szCs w:val="24"/>
        </w:rPr>
        <w:t xml:space="preserve"> is </w:t>
      </w:r>
    </w:p>
    <w:p w:rsidR="00283F14" w:rsidRDefault="00081451" w:rsidP="00136B07">
      <w:pPr>
        <w:ind w:left="720" w:right="720"/>
        <w:jc w:val="both"/>
      </w:pPr>
      <w:r>
        <w:rPr>
          <w:rFonts w:eastAsia="Times New Roman" w:cs="Times New Roman"/>
          <w:szCs w:val="24"/>
        </w:rPr>
        <w:t xml:space="preserve"> </w:t>
      </w:r>
      <w:r w:rsidR="00136B07" w:rsidRPr="00D1119B">
        <w:rPr>
          <w:u w:val="single"/>
        </w:rPr>
        <w:t>[a] memorandum, report, record, or data compilation</w:t>
      </w:r>
      <w:r w:rsidR="00136B07">
        <w:t xml:space="preserve">, in any form, of acts, events, conditions, opinion, or diagnosis, made at or near the time by, or from information transmitted by, </w:t>
      </w:r>
      <w:r w:rsidR="00136B07" w:rsidRPr="00D1119B">
        <w:rPr>
          <w:u w:val="single"/>
        </w:rPr>
        <w:t>a person with knowledge</w:t>
      </w:r>
      <w:r w:rsidR="00136B07">
        <w:t xml:space="preserve">, if kept in the course of a regularly conducted business activity and if it was the regular practice of that business activity to make such memorandum, report, record, or data compilation, all as shown by the testimony of the custodian or other qualified witness, or as shown by a certification or declaration that complies with paragraph (c) and s. </w:t>
      </w:r>
      <w:r w:rsidR="00D1119B">
        <w:t>90.902</w:t>
      </w:r>
      <w:r w:rsidR="00136B07">
        <w:t xml:space="preserve">(11), </w:t>
      </w:r>
      <w:r w:rsidR="00136B07" w:rsidRPr="00D1119B">
        <w:rPr>
          <w:u w:val="single"/>
        </w:rPr>
        <w:t>unless the sources of information or other circumstances show lack of trustworthiness</w:t>
      </w:r>
      <w:r w:rsidR="00136B07">
        <w:t>.</w:t>
      </w:r>
      <w:r w:rsidR="00D1119B">
        <w:t xml:space="preserve">  </w:t>
      </w:r>
      <w:r w:rsidR="00D1119B">
        <w:rPr>
          <w:i/>
        </w:rPr>
        <w:t>Emphasis added</w:t>
      </w:r>
      <w:r w:rsidR="00D1119B">
        <w:t>.</w:t>
      </w:r>
    </w:p>
    <w:p w:rsidR="00D1119B" w:rsidRDefault="00D1119B" w:rsidP="00136B07">
      <w:pPr>
        <w:ind w:left="720" w:right="720"/>
        <w:jc w:val="both"/>
      </w:pPr>
    </w:p>
    <w:p w:rsidR="00D1119B" w:rsidRDefault="00D1119B" w:rsidP="00D1119B">
      <w:pPr>
        <w:spacing w:line="480" w:lineRule="auto"/>
        <w:jc w:val="both"/>
      </w:pPr>
      <w:r>
        <w:t xml:space="preserve">There are, however, several problems with this argument.  To begin, and as previously demonstrated, no memorandums, reports, records, or data compilation have been offered by the Plaintiff.  Furthermore, the books, records, and documents referred to by Spradling in </w:t>
      </w:r>
      <w:r w:rsidR="00D60AF4">
        <w:t>the A</w:t>
      </w:r>
      <w:r>
        <w:t xml:space="preserve">ffidavit (which, of course, were not attached) were kept by Litton, who cannot be a person with knowledge as Litton does not have any personal knowledge of underlying transaction between the Plaintiff and the Defendant.  Finally, Litton, as the source of this information, shows a lack of trustworthiness because Spradling failed to attach the books, records, and documents to </w:t>
      </w:r>
      <w:r w:rsidR="00D60AF4">
        <w:t xml:space="preserve">the Affidavit </w:t>
      </w:r>
      <w:r>
        <w:t xml:space="preserve">and because </w:t>
      </w:r>
      <w:r w:rsidR="004E070E">
        <w:t xml:space="preserve">neither Litton nor Spradling have </w:t>
      </w:r>
      <w:r>
        <w:t>knowledge of the underlying transaction</w:t>
      </w:r>
      <w:r w:rsidR="004E070E">
        <w:t xml:space="preserve"> between the Plaintiff and the Defendant</w:t>
      </w:r>
      <w:r>
        <w:t>.</w:t>
      </w:r>
    </w:p>
    <w:p w:rsidR="00D1119B" w:rsidRPr="00D1119B" w:rsidRDefault="00D1119B" w:rsidP="00D1119B">
      <w:pPr>
        <w:spacing w:line="480" w:lineRule="auto"/>
        <w:jc w:val="both"/>
        <w:rPr>
          <w:rFonts w:eastAsia="Times New Roman" w:cs="Times New Roman"/>
          <w:szCs w:val="24"/>
        </w:rPr>
      </w:pPr>
      <w:r>
        <w:lastRenderedPageBreak/>
        <w:tab/>
        <w:t xml:space="preserve">Because Spradling’s statements in </w:t>
      </w:r>
      <w:r w:rsidR="00D60AF4">
        <w:t>the A</w:t>
      </w:r>
      <w:r>
        <w:t xml:space="preserve">ffidavit are not based upon personal knowledge, they are inadmissible hearsay evidence.  As no hearsay exception applies to </w:t>
      </w:r>
      <w:r w:rsidR="00D60AF4">
        <w:t>these</w:t>
      </w:r>
      <w:r>
        <w:t xml:space="preserve"> statements, </w:t>
      </w:r>
      <w:r w:rsidR="00D60AF4">
        <w:t>the A</w:t>
      </w:r>
      <w:r>
        <w:t>ffidavit should be struck in whole.</w:t>
      </w:r>
    </w:p>
    <w:p w:rsidR="006A2D19" w:rsidRDefault="00126786" w:rsidP="006A2D19">
      <w:pPr>
        <w:pStyle w:val="ListParagraph"/>
        <w:numPr>
          <w:ilvl w:val="0"/>
          <w:numId w:val="2"/>
        </w:numPr>
        <w:spacing w:line="480" w:lineRule="auto"/>
        <w:jc w:val="both"/>
        <w:rPr>
          <w:b/>
        </w:rPr>
      </w:pPr>
      <w:r>
        <w:rPr>
          <w:b/>
        </w:rPr>
        <w:t xml:space="preserve">Affidavit Included </w:t>
      </w:r>
      <w:r w:rsidR="006A2D19">
        <w:rPr>
          <w:b/>
        </w:rPr>
        <w:t>Impermissible Conclusions of Law</w:t>
      </w:r>
      <w:r w:rsidR="004F561E">
        <w:rPr>
          <w:b/>
        </w:rPr>
        <w:t xml:space="preserve"> Not Supported by Facts</w:t>
      </w:r>
    </w:p>
    <w:p w:rsidR="006A2D19" w:rsidRDefault="006A2D19" w:rsidP="004F561E">
      <w:pPr>
        <w:autoSpaceDE w:val="0"/>
        <w:autoSpaceDN w:val="0"/>
        <w:adjustRightInd w:val="0"/>
        <w:spacing w:line="480" w:lineRule="auto"/>
        <w:jc w:val="both"/>
        <w:rPr>
          <w:rFonts w:cs="Times New Roman"/>
          <w:szCs w:val="24"/>
        </w:rPr>
      </w:pPr>
      <w:r>
        <w:tab/>
        <w:t xml:space="preserve">An affidavit in support of a motion for summary judgment may not be based upon factual conclusions or opinions of law.  </w:t>
      </w:r>
      <w:proofErr w:type="gramStart"/>
      <w:r w:rsidRPr="001269AA">
        <w:rPr>
          <w:rFonts w:cs="Times New Roman"/>
          <w:szCs w:val="24"/>
          <w:u w:val="single"/>
        </w:rPr>
        <w:t>Jones Constr. Co. of Cent.</w:t>
      </w:r>
      <w:proofErr w:type="gramEnd"/>
      <w:r w:rsidRPr="001269AA">
        <w:rPr>
          <w:rFonts w:cs="Times New Roman"/>
          <w:szCs w:val="24"/>
          <w:u w:val="single"/>
        </w:rPr>
        <w:t xml:space="preserve"> Fla., Inc. v. Fla. Workers' Comp. JUA, Inc.</w:t>
      </w:r>
      <w:r w:rsidRPr="001269AA">
        <w:rPr>
          <w:rFonts w:cs="Times New Roman"/>
          <w:szCs w:val="24"/>
        </w:rPr>
        <w:t>, 7</w:t>
      </w:r>
      <w:r>
        <w:rPr>
          <w:rFonts w:cs="Times New Roman"/>
          <w:szCs w:val="24"/>
        </w:rPr>
        <w:t xml:space="preserve">93 So. </w:t>
      </w:r>
      <w:proofErr w:type="gramStart"/>
      <w:r>
        <w:rPr>
          <w:rFonts w:cs="Times New Roman"/>
          <w:szCs w:val="24"/>
        </w:rPr>
        <w:t xml:space="preserve">2d 978, 979 (Fla. 2d DCA </w:t>
      </w:r>
      <w:r w:rsidRPr="001269AA">
        <w:rPr>
          <w:rFonts w:cs="Times New Roman"/>
          <w:szCs w:val="24"/>
        </w:rPr>
        <w:t>2001).</w:t>
      </w:r>
      <w:proofErr w:type="gramEnd"/>
      <w:r>
        <w:rPr>
          <w:rFonts w:cs="Times New Roman"/>
          <w:szCs w:val="24"/>
        </w:rPr>
        <w:t xml:space="preserve">  Furthermore, </w:t>
      </w:r>
      <w:r w:rsidR="00343AB3" w:rsidRPr="00343AB3">
        <w:rPr>
          <w:rFonts w:cs="Times New Roman"/>
        </w:rPr>
        <w:t>an affidavit which states a legal conclusion should not be relied upon unless the affidavit also recites the fac</w:t>
      </w:r>
      <w:r w:rsidR="00343AB3">
        <w:rPr>
          <w:rFonts w:cs="Times New Roman"/>
        </w:rPr>
        <w:t>ts which justify the conclusion</w:t>
      </w:r>
      <w:r>
        <w:rPr>
          <w:rFonts w:cs="Times New Roman"/>
          <w:szCs w:val="24"/>
        </w:rPr>
        <w:t xml:space="preserve">.  </w:t>
      </w:r>
      <w:proofErr w:type="spellStart"/>
      <w:r w:rsidR="004F561E">
        <w:rPr>
          <w:rFonts w:cs="Times New Roman"/>
          <w:szCs w:val="24"/>
          <w:u w:val="single"/>
        </w:rPr>
        <w:t>Acquadro</w:t>
      </w:r>
      <w:proofErr w:type="spellEnd"/>
      <w:r w:rsidR="004F561E">
        <w:rPr>
          <w:rFonts w:cs="Times New Roman"/>
          <w:szCs w:val="24"/>
          <w:u w:val="single"/>
        </w:rPr>
        <w:t xml:space="preserve"> v. </w:t>
      </w:r>
      <w:r w:rsidR="004F561E" w:rsidRPr="004F561E">
        <w:rPr>
          <w:rFonts w:cs="Times New Roman"/>
          <w:szCs w:val="24"/>
          <w:u w:val="single"/>
        </w:rPr>
        <w:t>Bergeron</w:t>
      </w:r>
      <w:r w:rsidR="004F561E">
        <w:rPr>
          <w:rFonts w:cs="Times New Roman"/>
          <w:szCs w:val="24"/>
        </w:rPr>
        <w:t xml:space="preserve">, 851 So. </w:t>
      </w:r>
      <w:proofErr w:type="gramStart"/>
      <w:r w:rsidR="004F561E">
        <w:rPr>
          <w:rFonts w:cs="Times New Roman"/>
          <w:szCs w:val="24"/>
        </w:rPr>
        <w:t xml:space="preserve">2d 665, 672 (Fla. 2003); </w:t>
      </w:r>
      <w:proofErr w:type="spellStart"/>
      <w:r w:rsidRPr="004F561E">
        <w:rPr>
          <w:rFonts w:cs="Times New Roman"/>
          <w:szCs w:val="24"/>
          <w:u w:val="single"/>
        </w:rPr>
        <w:t>Rever</w:t>
      </w:r>
      <w:proofErr w:type="spellEnd"/>
      <w:r w:rsidRPr="004F561E">
        <w:rPr>
          <w:rFonts w:cs="Times New Roman"/>
          <w:szCs w:val="24"/>
          <w:u w:val="single"/>
        </w:rPr>
        <w:t xml:space="preserve"> v. </w:t>
      </w:r>
      <w:proofErr w:type="spellStart"/>
      <w:r w:rsidRPr="004F561E">
        <w:rPr>
          <w:rFonts w:cs="Times New Roman"/>
          <w:szCs w:val="24"/>
          <w:u w:val="single"/>
        </w:rPr>
        <w:t>Lapi</w:t>
      </w:r>
      <w:r w:rsidR="004F561E" w:rsidRPr="004F561E">
        <w:rPr>
          <w:rFonts w:cs="Times New Roman"/>
          <w:szCs w:val="24"/>
          <w:u w:val="single"/>
        </w:rPr>
        <w:t>dus</w:t>
      </w:r>
      <w:proofErr w:type="spellEnd"/>
      <w:r w:rsidR="004F561E" w:rsidRPr="004F561E">
        <w:rPr>
          <w:rFonts w:cs="Times New Roman"/>
          <w:szCs w:val="24"/>
        </w:rPr>
        <w:t>, 151 So.</w:t>
      </w:r>
      <w:proofErr w:type="gramEnd"/>
      <w:r w:rsidR="004F561E" w:rsidRPr="004F561E">
        <w:rPr>
          <w:rFonts w:cs="Times New Roman"/>
          <w:szCs w:val="24"/>
        </w:rPr>
        <w:t xml:space="preserve"> </w:t>
      </w:r>
      <w:proofErr w:type="gramStart"/>
      <w:r w:rsidR="004F561E" w:rsidRPr="004F561E">
        <w:rPr>
          <w:rFonts w:cs="Times New Roman"/>
          <w:szCs w:val="24"/>
        </w:rPr>
        <w:t xml:space="preserve">2d 61, 62 (Fla. 3d </w:t>
      </w:r>
      <w:r w:rsidRPr="004F561E">
        <w:rPr>
          <w:rFonts w:cs="Times New Roman"/>
          <w:szCs w:val="24"/>
        </w:rPr>
        <w:t>DCA</w:t>
      </w:r>
      <w:r w:rsidR="004F561E" w:rsidRPr="004F561E">
        <w:rPr>
          <w:rFonts w:cs="Times New Roman"/>
          <w:szCs w:val="24"/>
        </w:rPr>
        <w:t xml:space="preserve"> </w:t>
      </w:r>
      <w:r w:rsidRPr="004F561E">
        <w:rPr>
          <w:rFonts w:cs="Times New Roman"/>
          <w:szCs w:val="24"/>
        </w:rPr>
        <w:t>1963)</w:t>
      </w:r>
      <w:r w:rsidR="004F561E">
        <w:rPr>
          <w:rFonts w:cs="Times New Roman"/>
          <w:szCs w:val="24"/>
        </w:rPr>
        <w:t>.</w:t>
      </w:r>
      <w:proofErr w:type="gramEnd"/>
    </w:p>
    <w:p w:rsidR="004F561E" w:rsidRDefault="004F561E" w:rsidP="004F561E">
      <w:pPr>
        <w:autoSpaceDE w:val="0"/>
        <w:autoSpaceDN w:val="0"/>
        <w:adjustRightInd w:val="0"/>
        <w:spacing w:line="480" w:lineRule="auto"/>
        <w:jc w:val="both"/>
      </w:pPr>
      <w:r>
        <w:rPr>
          <w:rFonts w:cs="Times New Roman"/>
          <w:szCs w:val="24"/>
        </w:rPr>
        <w:tab/>
        <w:t xml:space="preserve">Here, </w:t>
      </w:r>
      <w:r w:rsidR="00D60AF4">
        <w:rPr>
          <w:rFonts w:cs="Times New Roman"/>
          <w:szCs w:val="24"/>
        </w:rPr>
        <w:t>the Affidavit</w:t>
      </w:r>
      <w:r>
        <w:rPr>
          <w:rFonts w:cs="Times New Roman"/>
          <w:szCs w:val="24"/>
        </w:rPr>
        <w:t xml:space="preserve"> contained conclusions of law which were not supported by facts stated therein.  Specifically, Spradling averred that</w:t>
      </w:r>
      <w:r w:rsidR="007B2BE4">
        <w:rPr>
          <w:rFonts w:cs="Times New Roman"/>
          <w:szCs w:val="24"/>
        </w:rPr>
        <w:t xml:space="preserve"> the Plaintiff was entitled to enforce the Note and Mortgage and that the Plaintiff was entitled to a judgment as a matter of law, two legal conclusions, but did not support this conclusion with statements which referenced </w:t>
      </w:r>
      <w:r w:rsidR="0075138F">
        <w:rPr>
          <w:rFonts w:cs="Times New Roman"/>
          <w:szCs w:val="24"/>
        </w:rPr>
        <w:t xml:space="preserve">exactly </w:t>
      </w:r>
      <w:r w:rsidR="007B2BE4">
        <w:rPr>
          <w:rFonts w:cs="Times New Roman"/>
          <w:szCs w:val="24"/>
          <w:u w:val="single"/>
        </w:rPr>
        <w:t>who</w:t>
      </w:r>
      <w:r w:rsidR="007B2BE4">
        <w:rPr>
          <w:rFonts w:cs="Times New Roman"/>
          <w:szCs w:val="24"/>
        </w:rPr>
        <w:t xml:space="preserve"> the Plaintiff was entitled to enforce the Note and Mortgage against.  In fact there is no mention of any of the parties in question save for one </w:t>
      </w:r>
      <w:r w:rsidR="004E070E">
        <w:rPr>
          <w:rFonts w:cs="Times New Roman"/>
          <w:szCs w:val="24"/>
        </w:rPr>
        <w:t>cryptic line in where</w:t>
      </w:r>
      <w:r w:rsidR="007B2BE4">
        <w:rPr>
          <w:rFonts w:cs="Times New Roman"/>
          <w:szCs w:val="24"/>
        </w:rPr>
        <w:t xml:space="preserve"> Spradling states that </w:t>
      </w:r>
      <w:r w:rsidR="007B2BE4">
        <w:t>“[s]</w:t>
      </w:r>
      <w:proofErr w:type="spellStart"/>
      <w:r w:rsidR="007B2BE4">
        <w:t>pecifically</w:t>
      </w:r>
      <w:proofErr w:type="spellEnd"/>
      <w:r w:rsidR="007B2BE4">
        <w:t xml:space="preserve">, I have </w:t>
      </w:r>
      <w:r w:rsidR="007B2BE4" w:rsidRPr="007B2BE4">
        <w:t>personal knowledge</w:t>
      </w:r>
      <w:r w:rsidR="007B2BE4">
        <w:t xml:space="preserve"> of the facts regarding the sums which are due and owing to Plaintiff or its assigns pursuant to the Note and Mortgage which is the subject matter of the lawsuit”</w:t>
      </w:r>
      <w:r w:rsidR="00D60AF4">
        <w:t xml:space="preserve"> and another which states “I am familiar with the books of account…concerning the transactions alleged in the Complaint.”</w:t>
      </w:r>
      <w:r w:rsidR="007B2BE4">
        <w:rPr>
          <w:rStyle w:val="FootnoteReference"/>
        </w:rPr>
        <w:footnoteReference w:id="8"/>
      </w:r>
      <w:r w:rsidR="007B2BE4">
        <w:t xml:space="preserve">  Nowhere in the </w:t>
      </w:r>
      <w:r w:rsidR="00D60AF4">
        <w:t>A</w:t>
      </w:r>
      <w:r w:rsidR="007B2BE4">
        <w:t xml:space="preserve">ffidavit does Spradling state that the Plaintiff </w:t>
      </w:r>
      <w:proofErr w:type="gramStart"/>
      <w:r w:rsidR="007B2BE4">
        <w:t>is entitled</w:t>
      </w:r>
      <w:proofErr w:type="gramEnd"/>
      <w:r w:rsidR="007B2BE4">
        <w:t xml:space="preserve"> to enforce the Note and Mortgage </w:t>
      </w:r>
      <w:r w:rsidR="007B2BE4">
        <w:rPr>
          <w:u w:val="single"/>
        </w:rPr>
        <w:t xml:space="preserve">against the </w:t>
      </w:r>
      <w:r w:rsidR="00D60AF4">
        <w:rPr>
          <w:u w:val="single"/>
        </w:rPr>
        <w:t>D</w:t>
      </w:r>
      <w:r w:rsidR="007B2BE4">
        <w:rPr>
          <w:u w:val="single"/>
        </w:rPr>
        <w:t>efendant</w:t>
      </w:r>
      <w:r w:rsidR="007B2BE4">
        <w:t xml:space="preserve"> nor does Spradling state that the Plaintiff is entitled to a judgment as a matter of law </w:t>
      </w:r>
      <w:r w:rsidR="007B2BE4">
        <w:rPr>
          <w:u w:val="single"/>
        </w:rPr>
        <w:t>because the Defendant owes the Plaintiff money</w:t>
      </w:r>
      <w:r w:rsidR="007B2BE4">
        <w:t>.  At best</w:t>
      </w:r>
      <w:r w:rsidR="00D60AF4">
        <w:t xml:space="preserve"> the Affidavit</w:t>
      </w:r>
      <w:r w:rsidR="007B2BE4">
        <w:t xml:space="preserve"> accuses someone of owing the Plaintiff $408,809.30 and </w:t>
      </w:r>
      <w:r w:rsidR="007B2BE4">
        <w:lastRenderedPageBreak/>
        <w:t xml:space="preserve">that the Plaintiff </w:t>
      </w:r>
      <w:r w:rsidR="0075138F">
        <w:t xml:space="preserve">should be able to enforce some Note and Mortgage against that </w:t>
      </w:r>
      <w:r w:rsidR="00D60AF4">
        <w:t xml:space="preserve">particular </w:t>
      </w:r>
      <w:r w:rsidR="0075138F">
        <w:t>someone.  By not clearly identifying the parties in question, Spradling has not adequately supported his two legal conclusions.</w:t>
      </w:r>
    </w:p>
    <w:p w:rsidR="0075138F" w:rsidRPr="007B2BE4" w:rsidRDefault="0075138F" w:rsidP="004F561E">
      <w:pPr>
        <w:autoSpaceDE w:val="0"/>
        <w:autoSpaceDN w:val="0"/>
        <w:adjustRightInd w:val="0"/>
        <w:spacing w:line="480" w:lineRule="auto"/>
        <w:jc w:val="both"/>
        <w:rPr>
          <w:rFonts w:cs="Times New Roman"/>
          <w:szCs w:val="24"/>
        </w:rPr>
      </w:pPr>
      <w:r>
        <w:tab/>
        <w:t xml:space="preserve">Because </w:t>
      </w:r>
      <w:r w:rsidR="00D60AF4">
        <w:t>the Affidavit</w:t>
      </w:r>
      <w:r>
        <w:t xml:space="preserve"> contained impermissible conclusions of law which were not supported by facts stated therein, </w:t>
      </w:r>
      <w:r w:rsidR="00D60AF4">
        <w:t>the Affidavit</w:t>
      </w:r>
      <w:r>
        <w:t xml:space="preserve"> should be struck in whole.</w:t>
      </w:r>
    </w:p>
    <w:p w:rsidR="0075138F" w:rsidRDefault="00221E45" w:rsidP="0075138F">
      <w:pPr>
        <w:pStyle w:val="ListParagraph"/>
        <w:numPr>
          <w:ilvl w:val="0"/>
          <w:numId w:val="2"/>
        </w:numPr>
        <w:spacing w:line="480" w:lineRule="auto"/>
        <w:jc w:val="both"/>
        <w:rPr>
          <w:b/>
        </w:rPr>
      </w:pPr>
      <w:r>
        <w:rPr>
          <w:b/>
        </w:rPr>
        <w:t>Sanction of Attorney’s Fees is Appropriate</w:t>
      </w:r>
    </w:p>
    <w:p w:rsidR="0075138F" w:rsidRDefault="0075138F" w:rsidP="0075138F">
      <w:pPr>
        <w:pStyle w:val="ListParagraph"/>
        <w:spacing w:line="480" w:lineRule="auto"/>
        <w:ind w:left="0"/>
        <w:jc w:val="both"/>
      </w:pPr>
      <w:r>
        <w:tab/>
      </w:r>
      <w:proofErr w:type="gramStart"/>
      <w:r>
        <w:t>Fla. R. Civ. Pro.</w:t>
      </w:r>
      <w:proofErr w:type="gramEnd"/>
      <w:r>
        <w:t xml:space="preserve"> 1.510(g) reads, in full, that </w:t>
      </w:r>
    </w:p>
    <w:p w:rsidR="0075138F" w:rsidRDefault="0075138F" w:rsidP="0075138F">
      <w:pPr>
        <w:pStyle w:val="ListParagraph"/>
        <w:ind w:right="720"/>
        <w:jc w:val="both"/>
      </w:pPr>
      <w:r>
        <w:t>[</w:t>
      </w:r>
      <w:proofErr w:type="spellStart"/>
      <w:r>
        <w:t>i</w:t>
      </w:r>
      <w:proofErr w:type="spellEnd"/>
      <w:r>
        <w:t xml:space="preserve">]f it appears to the satisfaction of the court at any time that any of the affidavits presented pursuant to this rule are </w:t>
      </w:r>
      <w:r w:rsidRPr="0075138F">
        <w:rPr>
          <w:u w:val="single"/>
        </w:rPr>
        <w:t>presented in bad faith</w:t>
      </w:r>
      <w:r>
        <w:t xml:space="preserve"> or solely for the purpose of delay, </w:t>
      </w:r>
      <w:r w:rsidRPr="0075138F">
        <w:rPr>
          <w:u w:val="single"/>
        </w:rPr>
        <w:t>the court shall forthwith order the party employing them to pay to the other party the amount of the reasonable expenses</w:t>
      </w:r>
      <w:r>
        <w:t xml:space="preserve"> which the filing of the affidavits caused the other party to incur, </w:t>
      </w:r>
      <w:r w:rsidRPr="0075138F">
        <w:rPr>
          <w:u w:val="single"/>
        </w:rPr>
        <w:t>including reasonable attorneys' fees</w:t>
      </w:r>
      <w:r>
        <w:t xml:space="preserve">, and any offending party or attorney may be adjudged guilty of contempt.  </w:t>
      </w:r>
      <w:r>
        <w:rPr>
          <w:i/>
        </w:rPr>
        <w:t>Emphasis added</w:t>
      </w:r>
      <w:r>
        <w:t>.</w:t>
      </w:r>
    </w:p>
    <w:p w:rsidR="0075138F" w:rsidRDefault="0075138F" w:rsidP="0075138F">
      <w:pPr>
        <w:pStyle w:val="ListParagraph"/>
        <w:ind w:right="720"/>
        <w:jc w:val="both"/>
      </w:pPr>
    </w:p>
    <w:p w:rsidR="0075138F" w:rsidRDefault="0075138F" w:rsidP="0075138F">
      <w:pPr>
        <w:pStyle w:val="ListParagraph"/>
        <w:spacing w:line="480" w:lineRule="auto"/>
        <w:ind w:left="0"/>
        <w:jc w:val="both"/>
      </w:pPr>
      <w:r>
        <w:t xml:space="preserve">The undersigned counsel has </w:t>
      </w:r>
      <w:r w:rsidR="00C333F8">
        <w:t xml:space="preserve">expended considerable time and resources preparing to defend against an affidavit which has, on its face, no basis in law.  Both Florida Default Law Group and the Plaintiff both knew that Spradling’s affidavit lacked authenticity and reliability yet still chose to file </w:t>
      </w:r>
      <w:r w:rsidR="00144B83">
        <w:t>it with the Court.  In addition, this is not Florida Default Law Group’s first time filing affidavits in bad faith.  Recently, the Bankruptcy Court for the Southern District of Florida sanctioned both Florida Default Law Group and its client, WELLS FARGO, $95,130.45</w:t>
      </w:r>
      <w:r w:rsidR="00C333F8">
        <w:t xml:space="preserve"> </w:t>
      </w:r>
      <w:r w:rsidR="00144B83">
        <w:t xml:space="preserve">for false representations made in affidavits in that court as well as other bankruptcy courts in Florida.  </w:t>
      </w:r>
      <w:r w:rsidR="00144B83">
        <w:rPr>
          <w:i/>
        </w:rPr>
        <w:t>See</w:t>
      </w:r>
      <w:r w:rsidR="00144B83">
        <w:t xml:space="preserve"> </w:t>
      </w:r>
      <w:r w:rsidR="00144B83" w:rsidRPr="00144B83">
        <w:rPr>
          <w:u w:val="single"/>
        </w:rPr>
        <w:t xml:space="preserve">In re: </w:t>
      </w:r>
      <w:proofErr w:type="spellStart"/>
      <w:r w:rsidR="00144B83" w:rsidRPr="00144B83">
        <w:rPr>
          <w:u w:val="single"/>
        </w:rPr>
        <w:t>Fazul</w:t>
      </w:r>
      <w:proofErr w:type="spellEnd"/>
      <w:r w:rsidR="00144B83" w:rsidRPr="00144B83">
        <w:rPr>
          <w:u w:val="single"/>
        </w:rPr>
        <w:t xml:space="preserve"> </w:t>
      </w:r>
      <w:proofErr w:type="spellStart"/>
      <w:r w:rsidR="00144B83" w:rsidRPr="00144B83">
        <w:rPr>
          <w:u w:val="single"/>
        </w:rPr>
        <w:t>Haque</w:t>
      </w:r>
      <w:proofErr w:type="spellEnd"/>
      <w:r w:rsidR="00144B83">
        <w:t>, Case No. 08-14257-BKR-JKO (</w:t>
      </w:r>
      <w:r w:rsidR="00144B83" w:rsidRPr="00144B83">
        <w:rPr>
          <w:i/>
        </w:rPr>
        <w:t>Order Granting Wells Fargo, N.A.’s Motion for Relief from Stay and Imposing Sanctions for Negligent Practice and False Representations</w:t>
      </w:r>
      <w:r w:rsidR="00144B83">
        <w:t>, Oct. 28, 2008).  This is indicia of a modus operandi on Florida Default Law Group’s part to present misrepresentations and false affidavits to the Court</w:t>
      </w:r>
      <w:r w:rsidR="00343AB3">
        <w:t xml:space="preserve"> which make an award of attorney’s fees and costs an appropriate sanction</w:t>
      </w:r>
      <w:r w:rsidR="00144B83">
        <w:t>.</w:t>
      </w:r>
    </w:p>
    <w:p w:rsidR="00D60AF4" w:rsidRPr="00343AB3" w:rsidRDefault="00144B83" w:rsidP="00343AB3">
      <w:pPr>
        <w:pStyle w:val="ListParagraph"/>
        <w:spacing w:line="480" w:lineRule="auto"/>
        <w:ind w:left="0"/>
        <w:jc w:val="both"/>
        <w:rPr>
          <w:u w:val="single"/>
        </w:rPr>
      </w:pPr>
      <w:r>
        <w:lastRenderedPageBreak/>
        <w:tab/>
      </w:r>
      <w:r>
        <w:rPr>
          <w:b/>
        </w:rPr>
        <w:t>WHEREFORE</w:t>
      </w:r>
      <w:r>
        <w:t xml:space="preserve">, Defendant asks this Court to GRANT its MOTION TO STRIKE AFFIDAVIT </w:t>
      </w:r>
      <w:r w:rsidR="00AD3A92">
        <w:t xml:space="preserve">OF CHRISTOPHER SPRADLING and enter </w:t>
      </w:r>
      <w:r>
        <w:t xml:space="preserve">an ORDER granting ATTORNEY’S FEES AND COSTS and any other </w:t>
      </w:r>
      <w:r w:rsidR="00AD3A92">
        <w:t>relief the Court deems just and proper.</w:t>
      </w:r>
    </w:p>
    <w:p w:rsidR="009528FD" w:rsidRDefault="009528FD" w:rsidP="009528FD">
      <w:pPr>
        <w:spacing w:line="480" w:lineRule="auto"/>
        <w:jc w:val="center"/>
        <w:rPr>
          <w:rFonts w:cs="Times New Roman"/>
          <w:b/>
          <w:caps/>
          <w:szCs w:val="24"/>
        </w:rPr>
      </w:pPr>
      <w:r w:rsidRPr="006533D9">
        <w:rPr>
          <w:rFonts w:cs="Times New Roman"/>
          <w:b/>
          <w:caps/>
          <w:szCs w:val="24"/>
        </w:rPr>
        <w:t>Certificate of Service</w:t>
      </w:r>
    </w:p>
    <w:p w:rsidR="009528FD" w:rsidRDefault="009528FD" w:rsidP="009528FD">
      <w:pPr>
        <w:spacing w:line="480" w:lineRule="auto"/>
        <w:jc w:val="both"/>
        <w:rPr>
          <w:rFonts w:cs="Times New Roman"/>
          <w:szCs w:val="24"/>
        </w:rPr>
      </w:pPr>
      <w:r>
        <w:rPr>
          <w:rFonts w:cs="Times New Roman"/>
          <w:szCs w:val="24"/>
        </w:rPr>
        <w:tab/>
      </w:r>
      <w:r w:rsidRPr="00A53234">
        <w:rPr>
          <w:rFonts w:cs="Times New Roman"/>
          <w:caps/>
          <w:szCs w:val="24"/>
        </w:rPr>
        <w:t>I hereby certify</w:t>
      </w:r>
      <w:r>
        <w:rPr>
          <w:rFonts w:cs="Times New Roman"/>
          <w:szCs w:val="24"/>
        </w:rPr>
        <w:t xml:space="preserve"> that a true and correct copy of the foregoing has been furnished by U.S. Mail on this ____ day of February, 2010 to KATHERINE RENNINGER,</w:t>
      </w:r>
      <w:r w:rsidR="00343AB3">
        <w:rPr>
          <w:rFonts w:cs="Times New Roman"/>
          <w:szCs w:val="24"/>
        </w:rPr>
        <w:t xml:space="preserve"> KATHERINE E. TILKA, and CHRISTINA N. RILEY,</w:t>
      </w:r>
      <w:r>
        <w:rPr>
          <w:rFonts w:cs="Times New Roman"/>
          <w:szCs w:val="24"/>
        </w:rPr>
        <w:t xml:space="preserve"> Florida Default Law Group, P.L., P.O. Box 25018, Tampa, FL 33622-5018.</w:t>
      </w:r>
    </w:p>
    <w:p w:rsidR="009528FD" w:rsidRDefault="009528FD" w:rsidP="009528FD">
      <w:pPr>
        <w:rPr>
          <w:rFonts w:cs="Times New Roman"/>
          <w:szCs w:val="24"/>
        </w:rPr>
      </w:pP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p>
    <w:p w:rsidR="009528FD" w:rsidRDefault="009528FD" w:rsidP="009528FD">
      <w:pPr>
        <w:ind w:left="5040" w:firstLine="720"/>
        <w:rPr>
          <w:rFonts w:cs="Times New Roman"/>
          <w:szCs w:val="24"/>
        </w:rPr>
      </w:pPr>
      <w:r>
        <w:rPr>
          <w:rFonts w:cs="Times New Roman"/>
          <w:szCs w:val="24"/>
        </w:rPr>
        <w:t>By</w:t>
      </w:r>
      <w:proofErr w:type="gramStart"/>
      <w:r>
        <w:rPr>
          <w:rFonts w:cs="Times New Roman"/>
          <w:szCs w:val="24"/>
        </w:rPr>
        <w:t>:_</w:t>
      </w:r>
      <w:proofErr w:type="gramEnd"/>
      <w:r>
        <w:rPr>
          <w:rFonts w:cs="Times New Roman"/>
          <w:szCs w:val="24"/>
        </w:rPr>
        <w:t>_________________________</w:t>
      </w:r>
    </w:p>
    <w:p w:rsidR="009528FD" w:rsidRDefault="009528FD" w:rsidP="009528FD">
      <w:pPr>
        <w:rPr>
          <w:rFonts w:cs="Times New Roman"/>
          <w:szCs w:val="24"/>
        </w:rPr>
      </w:pP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t xml:space="preserve">       MATTHEW D. WEIDNER</w:t>
      </w:r>
    </w:p>
    <w:p w:rsidR="009528FD" w:rsidRDefault="009528FD" w:rsidP="009528FD">
      <w:pPr>
        <w:rPr>
          <w:rFonts w:cs="Times New Roman"/>
          <w:szCs w:val="24"/>
        </w:rPr>
      </w:pP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t xml:space="preserve">       Attorney for Defendant</w:t>
      </w:r>
    </w:p>
    <w:p w:rsidR="009528FD" w:rsidRDefault="009528FD" w:rsidP="009528FD">
      <w:pPr>
        <w:rPr>
          <w:rFonts w:cs="Times New Roman"/>
          <w:szCs w:val="24"/>
        </w:rPr>
      </w:pP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t xml:space="preserve">       1229 Central Avenue</w:t>
      </w:r>
    </w:p>
    <w:p w:rsidR="009528FD" w:rsidRDefault="009528FD" w:rsidP="009528FD">
      <w:pPr>
        <w:rPr>
          <w:rFonts w:cs="Times New Roman"/>
          <w:szCs w:val="24"/>
        </w:rPr>
      </w:pP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t xml:space="preserve">       St. Petersburg, FL 33705</w:t>
      </w:r>
    </w:p>
    <w:p w:rsidR="009528FD" w:rsidRDefault="009528FD" w:rsidP="009528FD">
      <w:pPr>
        <w:rPr>
          <w:rFonts w:cs="Times New Roman"/>
          <w:szCs w:val="24"/>
        </w:rPr>
      </w:pP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t xml:space="preserve">       (727) 894-3159</w:t>
      </w:r>
    </w:p>
    <w:p w:rsidR="009528FD" w:rsidRPr="00A53234" w:rsidRDefault="009528FD" w:rsidP="009528FD">
      <w:pPr>
        <w:rPr>
          <w:rFonts w:cs="Times New Roman"/>
          <w:szCs w:val="24"/>
        </w:rPr>
      </w:pP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t xml:space="preserve">       FBN: 0185957</w:t>
      </w:r>
    </w:p>
    <w:p w:rsidR="009528FD" w:rsidRPr="009528FD" w:rsidRDefault="009528FD" w:rsidP="009528FD">
      <w:pPr>
        <w:spacing w:line="480" w:lineRule="auto"/>
        <w:jc w:val="both"/>
      </w:pPr>
    </w:p>
    <w:sectPr w:rsidR="009528FD" w:rsidRPr="009528FD" w:rsidSect="00C2376C">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D4493" w:rsidRDefault="002D4493" w:rsidP="002D4493">
      <w:r>
        <w:separator/>
      </w:r>
    </w:p>
  </w:endnote>
  <w:endnote w:type="continuationSeparator" w:id="0">
    <w:p w:rsidR="002D4493" w:rsidRDefault="002D4493" w:rsidP="002D449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D4493" w:rsidRDefault="002D4493" w:rsidP="002D4493">
      <w:r>
        <w:separator/>
      </w:r>
    </w:p>
  </w:footnote>
  <w:footnote w:type="continuationSeparator" w:id="0">
    <w:p w:rsidR="002D4493" w:rsidRDefault="002D4493" w:rsidP="002D4493">
      <w:r>
        <w:continuationSeparator/>
      </w:r>
    </w:p>
  </w:footnote>
  <w:footnote w:id="1">
    <w:p w:rsidR="002D4493" w:rsidRPr="00A7267E" w:rsidRDefault="002D4493">
      <w:pPr>
        <w:pStyle w:val="FootnoteText"/>
      </w:pPr>
      <w:r>
        <w:rPr>
          <w:rStyle w:val="FootnoteReference"/>
        </w:rPr>
        <w:footnoteRef/>
      </w:r>
      <w:r>
        <w:t xml:space="preserve"> </w:t>
      </w:r>
      <w:r>
        <w:rPr>
          <w:i/>
        </w:rPr>
        <w:t>See</w:t>
      </w:r>
      <w:r>
        <w:t xml:space="preserve"> </w:t>
      </w:r>
      <w:r w:rsidRPr="00A7267E">
        <w:rPr>
          <w:u w:val="single"/>
        </w:rPr>
        <w:t>Affidavit</w:t>
      </w:r>
      <w:r w:rsidR="00A7267E">
        <w:rPr>
          <w:u w:val="single"/>
        </w:rPr>
        <w:t xml:space="preserve"> As to Amounts Due and Owing</w:t>
      </w:r>
      <w:r w:rsidR="00A7267E">
        <w:t>, pg. 1.</w:t>
      </w:r>
    </w:p>
  </w:footnote>
  <w:footnote w:id="2">
    <w:p w:rsidR="0002689D" w:rsidRPr="0002689D" w:rsidRDefault="0002689D">
      <w:pPr>
        <w:pStyle w:val="FootnoteText"/>
      </w:pPr>
      <w:r>
        <w:rPr>
          <w:rStyle w:val="FootnoteReference"/>
        </w:rPr>
        <w:footnoteRef/>
      </w:r>
      <w:r>
        <w:t xml:space="preserve"> </w:t>
      </w:r>
      <w:proofErr w:type="gramStart"/>
      <w:r>
        <w:rPr>
          <w:u w:val="single"/>
        </w:rPr>
        <w:t>Id</w:t>
      </w:r>
      <w:r>
        <w:t>, pgs.</w:t>
      </w:r>
      <w:proofErr w:type="gramEnd"/>
      <w:r>
        <w:t xml:space="preserve"> </w:t>
      </w:r>
      <w:proofErr w:type="gramStart"/>
      <w:r>
        <w:t>1, 2.</w:t>
      </w:r>
      <w:proofErr w:type="gramEnd"/>
    </w:p>
  </w:footnote>
  <w:footnote w:id="3">
    <w:p w:rsidR="00EC5543" w:rsidRPr="00EC5543" w:rsidRDefault="00EC5543">
      <w:pPr>
        <w:pStyle w:val="FootnoteText"/>
      </w:pPr>
      <w:r>
        <w:rPr>
          <w:rStyle w:val="FootnoteReference"/>
        </w:rPr>
        <w:footnoteRef/>
      </w:r>
      <w:r>
        <w:t xml:space="preserve"> </w:t>
      </w:r>
      <w:r>
        <w:rPr>
          <w:u w:val="single"/>
        </w:rPr>
        <w:t>Id</w:t>
      </w:r>
      <w:r>
        <w:t>.</w:t>
      </w:r>
    </w:p>
  </w:footnote>
  <w:footnote w:id="4">
    <w:p w:rsidR="00D32D7B" w:rsidRDefault="00D32D7B">
      <w:pPr>
        <w:pStyle w:val="FootnoteText"/>
      </w:pPr>
      <w:r>
        <w:rPr>
          <w:rStyle w:val="FootnoteReference"/>
        </w:rPr>
        <w:footnoteRef/>
      </w:r>
      <w:r>
        <w:t xml:space="preserve"> </w:t>
      </w:r>
      <w:r>
        <w:rPr>
          <w:i/>
        </w:rPr>
        <w:t>See</w:t>
      </w:r>
      <w:r>
        <w:t xml:space="preserve"> </w:t>
      </w:r>
      <w:r w:rsidRPr="00A7267E">
        <w:rPr>
          <w:u w:val="single"/>
        </w:rPr>
        <w:t>Affidavit</w:t>
      </w:r>
      <w:r>
        <w:rPr>
          <w:u w:val="single"/>
        </w:rPr>
        <w:t xml:space="preserve"> As to Amounts Due and Owing</w:t>
      </w:r>
      <w:r>
        <w:t>, pg. 1.</w:t>
      </w:r>
    </w:p>
  </w:footnote>
  <w:footnote w:id="5">
    <w:p w:rsidR="00D32D7B" w:rsidRPr="00D32D7B" w:rsidRDefault="00D32D7B">
      <w:pPr>
        <w:pStyle w:val="FootnoteText"/>
      </w:pPr>
      <w:r>
        <w:rPr>
          <w:rStyle w:val="FootnoteReference"/>
        </w:rPr>
        <w:footnoteRef/>
      </w:r>
      <w:r>
        <w:t xml:space="preserve"> </w:t>
      </w:r>
      <w:proofErr w:type="gramStart"/>
      <w:r>
        <w:rPr>
          <w:u w:val="single"/>
        </w:rPr>
        <w:t>Id</w:t>
      </w:r>
      <w:r>
        <w:t>, pg. 2.</w:t>
      </w:r>
      <w:proofErr w:type="gramEnd"/>
    </w:p>
  </w:footnote>
  <w:footnote w:id="6">
    <w:p w:rsidR="00283631" w:rsidRPr="00283631" w:rsidRDefault="00283631">
      <w:pPr>
        <w:pStyle w:val="FootnoteText"/>
      </w:pPr>
      <w:r>
        <w:rPr>
          <w:rStyle w:val="FootnoteReference"/>
        </w:rPr>
        <w:footnoteRef/>
      </w:r>
      <w:r>
        <w:t xml:space="preserve"> </w:t>
      </w:r>
      <w:r>
        <w:rPr>
          <w:i/>
        </w:rPr>
        <w:t>See</w:t>
      </w:r>
      <w:r>
        <w:t xml:space="preserve"> </w:t>
      </w:r>
      <w:r w:rsidRPr="00A7267E">
        <w:rPr>
          <w:u w:val="single"/>
        </w:rPr>
        <w:t>Affidavit</w:t>
      </w:r>
      <w:r>
        <w:rPr>
          <w:u w:val="single"/>
        </w:rPr>
        <w:t xml:space="preserve"> As to Amounts Due and Owing</w:t>
      </w:r>
      <w:r>
        <w:t>, pg. 1.</w:t>
      </w:r>
    </w:p>
  </w:footnote>
  <w:footnote w:id="7">
    <w:p w:rsidR="00D60AF4" w:rsidRDefault="00D60AF4">
      <w:pPr>
        <w:pStyle w:val="FootnoteText"/>
      </w:pPr>
      <w:r>
        <w:rPr>
          <w:rStyle w:val="FootnoteReference"/>
        </w:rPr>
        <w:footnoteRef/>
      </w:r>
      <w:r>
        <w:t xml:space="preserve"> </w:t>
      </w:r>
      <w:r>
        <w:rPr>
          <w:i/>
        </w:rPr>
        <w:t>See</w:t>
      </w:r>
      <w:r>
        <w:t xml:space="preserve"> </w:t>
      </w:r>
      <w:r w:rsidRPr="00A7267E">
        <w:rPr>
          <w:u w:val="single"/>
        </w:rPr>
        <w:t>Affidavit</w:t>
      </w:r>
      <w:r>
        <w:rPr>
          <w:u w:val="single"/>
        </w:rPr>
        <w:t xml:space="preserve"> As to Amounts Due and Owing</w:t>
      </w:r>
      <w:r>
        <w:t>, pg. 1.</w:t>
      </w:r>
    </w:p>
  </w:footnote>
  <w:footnote w:id="8">
    <w:p w:rsidR="007B2BE4" w:rsidRDefault="007B2BE4">
      <w:pPr>
        <w:pStyle w:val="FootnoteText"/>
      </w:pPr>
      <w:r>
        <w:rPr>
          <w:rStyle w:val="FootnoteReference"/>
        </w:rPr>
        <w:footnoteRef/>
      </w:r>
      <w:r>
        <w:t xml:space="preserve"> </w:t>
      </w:r>
      <w:r>
        <w:rPr>
          <w:i/>
        </w:rPr>
        <w:t>See</w:t>
      </w:r>
      <w:r>
        <w:t xml:space="preserve"> </w:t>
      </w:r>
      <w:r w:rsidRPr="00A7267E">
        <w:rPr>
          <w:u w:val="single"/>
        </w:rPr>
        <w:t>Affidavit</w:t>
      </w:r>
      <w:r>
        <w:rPr>
          <w:u w:val="single"/>
        </w:rPr>
        <w:t xml:space="preserve"> As to Amounts Due and Owing</w:t>
      </w:r>
      <w:r>
        <w:t>, pg. 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6742339"/>
    <w:multiLevelType w:val="hybridMultilevel"/>
    <w:tmpl w:val="63DA058C"/>
    <w:lvl w:ilvl="0" w:tplc="F37EC050">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91728D6"/>
    <w:multiLevelType w:val="hybridMultilevel"/>
    <w:tmpl w:val="7F2C51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footnotePr>
    <w:footnote w:id="-1"/>
    <w:footnote w:id="0"/>
  </w:footnotePr>
  <w:endnotePr>
    <w:endnote w:id="-1"/>
    <w:endnote w:id="0"/>
  </w:endnotePr>
  <w:compat/>
  <w:rsids>
    <w:rsidRoot w:val="009528FD"/>
    <w:rsid w:val="0002689D"/>
    <w:rsid w:val="00081451"/>
    <w:rsid w:val="00083A1C"/>
    <w:rsid w:val="000F68FB"/>
    <w:rsid w:val="00126786"/>
    <w:rsid w:val="00136B07"/>
    <w:rsid w:val="001445F2"/>
    <w:rsid w:val="00144B83"/>
    <w:rsid w:val="00200591"/>
    <w:rsid w:val="00221E45"/>
    <w:rsid w:val="00283631"/>
    <w:rsid w:val="00283F14"/>
    <w:rsid w:val="002D4493"/>
    <w:rsid w:val="00343AB3"/>
    <w:rsid w:val="00442EC2"/>
    <w:rsid w:val="004E070E"/>
    <w:rsid w:val="004E5D4B"/>
    <w:rsid w:val="004F561E"/>
    <w:rsid w:val="00554005"/>
    <w:rsid w:val="005B007B"/>
    <w:rsid w:val="005E1A7B"/>
    <w:rsid w:val="00607042"/>
    <w:rsid w:val="006A2D19"/>
    <w:rsid w:val="006D4A4F"/>
    <w:rsid w:val="0071797C"/>
    <w:rsid w:val="0075138F"/>
    <w:rsid w:val="007B2BE4"/>
    <w:rsid w:val="008A2148"/>
    <w:rsid w:val="009528FD"/>
    <w:rsid w:val="00A7267E"/>
    <w:rsid w:val="00AB42B7"/>
    <w:rsid w:val="00AC4D77"/>
    <w:rsid w:val="00AD0B74"/>
    <w:rsid w:val="00AD3A92"/>
    <w:rsid w:val="00AF1F31"/>
    <w:rsid w:val="00B903CD"/>
    <w:rsid w:val="00BF0237"/>
    <w:rsid w:val="00C2376C"/>
    <w:rsid w:val="00C333F8"/>
    <w:rsid w:val="00D1119B"/>
    <w:rsid w:val="00D32D7B"/>
    <w:rsid w:val="00D60AF4"/>
    <w:rsid w:val="00EB1698"/>
    <w:rsid w:val="00EC554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376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528FD"/>
    <w:rPr>
      <w:rFonts w:eastAsia="Times New Roman" w:cs="Times New Roman"/>
      <w:szCs w:val="24"/>
    </w:rPr>
  </w:style>
  <w:style w:type="paragraph" w:styleId="ListParagraph">
    <w:name w:val="List Paragraph"/>
    <w:basedOn w:val="Normal"/>
    <w:uiPriority w:val="34"/>
    <w:qFormat/>
    <w:rsid w:val="00BF0237"/>
    <w:pPr>
      <w:ind w:left="720"/>
      <w:contextualSpacing/>
    </w:pPr>
  </w:style>
  <w:style w:type="paragraph" w:styleId="FootnoteText">
    <w:name w:val="footnote text"/>
    <w:basedOn w:val="Normal"/>
    <w:link w:val="FootnoteTextChar"/>
    <w:uiPriority w:val="99"/>
    <w:semiHidden/>
    <w:unhideWhenUsed/>
    <w:rsid w:val="002D4493"/>
    <w:rPr>
      <w:sz w:val="20"/>
      <w:szCs w:val="20"/>
    </w:rPr>
  </w:style>
  <w:style w:type="character" w:customStyle="1" w:styleId="FootnoteTextChar">
    <w:name w:val="Footnote Text Char"/>
    <w:basedOn w:val="DefaultParagraphFont"/>
    <w:link w:val="FootnoteText"/>
    <w:uiPriority w:val="99"/>
    <w:semiHidden/>
    <w:rsid w:val="002D4493"/>
    <w:rPr>
      <w:sz w:val="20"/>
      <w:szCs w:val="20"/>
    </w:rPr>
  </w:style>
  <w:style w:type="character" w:styleId="FootnoteReference">
    <w:name w:val="footnote reference"/>
    <w:basedOn w:val="DefaultParagraphFont"/>
    <w:uiPriority w:val="99"/>
    <w:semiHidden/>
    <w:unhideWhenUsed/>
    <w:rsid w:val="002D4493"/>
    <w:rPr>
      <w:vertAlign w:val="superscript"/>
    </w:rPr>
  </w:style>
  <w:style w:type="character" w:styleId="Hyperlink">
    <w:name w:val="Hyperlink"/>
    <w:basedOn w:val="DefaultParagraphFont"/>
    <w:uiPriority w:val="99"/>
    <w:semiHidden/>
    <w:unhideWhenUsed/>
    <w:rsid w:val="00136B07"/>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C0368D-F54B-4A1E-82B0-633899C2AF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2678</Words>
  <Characters>15269</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dc:creator>
  <cp:lastModifiedBy>Weidner</cp:lastModifiedBy>
  <cp:revision>2</cp:revision>
  <dcterms:created xsi:type="dcterms:W3CDTF">2010-03-15T19:08:00Z</dcterms:created>
  <dcterms:modified xsi:type="dcterms:W3CDTF">2010-03-15T19:08:00Z</dcterms:modified>
</cp:coreProperties>
</file>