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48B" w:rsidRPr="007E656C" w:rsidRDefault="00C63860" w:rsidP="008E648B">
      <w:pPr>
        <w:jc w:val="center"/>
        <w:rPr>
          <w:sz w:val="24"/>
          <w:szCs w:val="24"/>
        </w:rPr>
      </w:pPr>
      <w:r>
        <w:rPr>
          <w:sz w:val="24"/>
          <w:szCs w:val="24"/>
        </w:rPr>
        <w:t xml:space="preserve">  </w:t>
      </w:r>
      <w:r w:rsidR="008E648B" w:rsidRPr="007E656C">
        <w:rPr>
          <w:sz w:val="24"/>
          <w:szCs w:val="24"/>
        </w:rPr>
        <w:t xml:space="preserve">IN THE CIRCUIT COURT OF THE </w:t>
      </w:r>
      <w:r w:rsidR="008E648B">
        <w:rPr>
          <w:sz w:val="24"/>
          <w:szCs w:val="24"/>
        </w:rPr>
        <w:t>SIXTH</w:t>
      </w:r>
      <w:r w:rsidR="008E648B" w:rsidRPr="007E656C">
        <w:rPr>
          <w:sz w:val="24"/>
          <w:szCs w:val="24"/>
        </w:rPr>
        <w:t xml:space="preserve"> JUDICIAL CIRCUIT</w:t>
      </w:r>
    </w:p>
    <w:p w:rsidR="008E648B" w:rsidRPr="007E656C" w:rsidRDefault="008E648B" w:rsidP="008E648B">
      <w:pPr>
        <w:jc w:val="center"/>
        <w:rPr>
          <w:sz w:val="24"/>
          <w:szCs w:val="24"/>
        </w:rPr>
      </w:pPr>
      <w:r w:rsidRPr="007E656C">
        <w:rPr>
          <w:sz w:val="24"/>
          <w:szCs w:val="24"/>
        </w:rPr>
        <w:t xml:space="preserve">IN AND FOR </w:t>
      </w:r>
      <w:r>
        <w:rPr>
          <w:sz w:val="24"/>
          <w:szCs w:val="24"/>
        </w:rPr>
        <w:t>P</w:t>
      </w:r>
      <w:r w:rsidR="00360753">
        <w:rPr>
          <w:sz w:val="24"/>
          <w:szCs w:val="24"/>
        </w:rPr>
        <w:t>INELLAS</w:t>
      </w:r>
      <w:r w:rsidRPr="007E656C">
        <w:rPr>
          <w:sz w:val="24"/>
          <w:szCs w:val="24"/>
        </w:rPr>
        <w:t xml:space="preserve"> COUNTY, FLORIDA</w:t>
      </w:r>
      <w:r w:rsidR="006D61D5">
        <w:rPr>
          <w:sz w:val="24"/>
          <w:szCs w:val="24"/>
        </w:rPr>
        <w:t xml:space="preserve">, </w:t>
      </w:r>
      <w:r w:rsidRPr="007E656C">
        <w:rPr>
          <w:sz w:val="24"/>
          <w:szCs w:val="24"/>
        </w:rPr>
        <w:t>GENERAL CIVIL DIVISION</w:t>
      </w:r>
    </w:p>
    <w:p w:rsidR="008E648B" w:rsidRPr="007E656C" w:rsidRDefault="008E648B" w:rsidP="008E648B">
      <w:pPr>
        <w:jc w:val="both"/>
        <w:rPr>
          <w:sz w:val="24"/>
          <w:szCs w:val="24"/>
        </w:rPr>
      </w:pPr>
    </w:p>
    <w:p w:rsidR="008E648B" w:rsidRPr="007E656C" w:rsidRDefault="00360753" w:rsidP="008E648B">
      <w:pPr>
        <w:jc w:val="both"/>
        <w:rPr>
          <w:sz w:val="24"/>
          <w:szCs w:val="24"/>
        </w:rPr>
      </w:pPr>
      <w:r>
        <w:rPr>
          <w:sz w:val="24"/>
          <w:szCs w:val="24"/>
        </w:rPr>
        <w:t>CHASE HOME FINANCE, LLC,</w:t>
      </w:r>
      <w:r w:rsidR="00104751">
        <w:rPr>
          <w:sz w:val="24"/>
          <w:szCs w:val="24"/>
        </w:rPr>
        <w:t xml:space="preserve"> </w:t>
      </w:r>
      <w:r w:rsidR="008E648B">
        <w:rPr>
          <w:sz w:val="24"/>
          <w:szCs w:val="24"/>
        </w:rPr>
        <w:t xml:space="preserve"> </w:t>
      </w:r>
    </w:p>
    <w:p w:rsidR="008E648B" w:rsidRPr="007E656C" w:rsidRDefault="008E648B" w:rsidP="008E648B">
      <w:pPr>
        <w:jc w:val="both"/>
        <w:rPr>
          <w:sz w:val="24"/>
          <w:szCs w:val="24"/>
        </w:rPr>
      </w:pPr>
      <w:r w:rsidRPr="007E656C">
        <w:rPr>
          <w:sz w:val="24"/>
          <w:szCs w:val="24"/>
        </w:rPr>
        <w:tab/>
        <w:t>Plaintiff</w:t>
      </w:r>
    </w:p>
    <w:p w:rsidR="00104751" w:rsidRDefault="008E648B" w:rsidP="008E648B">
      <w:pPr>
        <w:jc w:val="both"/>
        <w:rPr>
          <w:sz w:val="24"/>
          <w:szCs w:val="24"/>
        </w:rPr>
      </w:pPr>
      <w:r w:rsidRPr="007E656C">
        <w:rPr>
          <w:sz w:val="24"/>
          <w:szCs w:val="24"/>
        </w:rPr>
        <w:t>v.</w:t>
      </w:r>
      <w:r w:rsidRPr="007E656C">
        <w:rPr>
          <w:sz w:val="24"/>
          <w:szCs w:val="24"/>
        </w:rPr>
        <w:tab/>
      </w:r>
      <w:r w:rsidRPr="007E656C">
        <w:rPr>
          <w:sz w:val="24"/>
          <w:szCs w:val="24"/>
        </w:rPr>
        <w:tab/>
      </w:r>
      <w:r w:rsidRPr="007E656C">
        <w:rPr>
          <w:sz w:val="24"/>
          <w:szCs w:val="24"/>
        </w:rPr>
        <w:tab/>
      </w:r>
      <w:r w:rsidRPr="007E656C">
        <w:rPr>
          <w:sz w:val="24"/>
          <w:szCs w:val="24"/>
        </w:rPr>
        <w:tab/>
      </w:r>
      <w:r w:rsidRPr="007E656C">
        <w:rPr>
          <w:sz w:val="24"/>
          <w:szCs w:val="24"/>
        </w:rPr>
        <w:tab/>
      </w:r>
      <w:r w:rsidRPr="007E656C">
        <w:rPr>
          <w:sz w:val="24"/>
          <w:szCs w:val="24"/>
        </w:rPr>
        <w:tab/>
      </w:r>
      <w:r w:rsidRPr="007E656C">
        <w:rPr>
          <w:sz w:val="24"/>
          <w:szCs w:val="24"/>
        </w:rPr>
        <w:tab/>
      </w:r>
      <w:r w:rsidR="00104751">
        <w:rPr>
          <w:sz w:val="24"/>
          <w:szCs w:val="24"/>
        </w:rPr>
        <w:t xml:space="preserve">        </w:t>
      </w:r>
      <w:r w:rsidRPr="007E656C">
        <w:rPr>
          <w:sz w:val="24"/>
          <w:szCs w:val="24"/>
        </w:rPr>
        <w:t>Case No.</w:t>
      </w:r>
      <w:r>
        <w:rPr>
          <w:sz w:val="24"/>
          <w:szCs w:val="24"/>
        </w:rPr>
        <w:t xml:space="preserve"> </w:t>
      </w:r>
      <w:r w:rsidR="00360753">
        <w:rPr>
          <w:sz w:val="24"/>
          <w:szCs w:val="24"/>
        </w:rPr>
        <w:t>52-2008-CA-012751</w:t>
      </w:r>
    </w:p>
    <w:p w:rsidR="008E648B" w:rsidRDefault="00360753" w:rsidP="00104751">
      <w:pPr>
        <w:jc w:val="both"/>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104751" w:rsidRDefault="006D61D5" w:rsidP="008E648B">
      <w:pPr>
        <w:jc w:val="both"/>
        <w:rPr>
          <w:sz w:val="24"/>
          <w:szCs w:val="24"/>
        </w:rPr>
      </w:pPr>
      <w:r>
        <w:rPr>
          <w:sz w:val="24"/>
          <w:szCs w:val="24"/>
        </w:rPr>
        <w:t>R</w:t>
      </w:r>
      <w:r w:rsidR="00360753">
        <w:rPr>
          <w:sz w:val="24"/>
          <w:szCs w:val="24"/>
        </w:rPr>
        <w:t>ICHARD PONCE</w:t>
      </w:r>
      <w:r w:rsidR="00104751">
        <w:rPr>
          <w:sz w:val="24"/>
          <w:szCs w:val="24"/>
        </w:rPr>
        <w:t>, et al.,</w:t>
      </w:r>
    </w:p>
    <w:p w:rsidR="008E648B" w:rsidRPr="007E656C" w:rsidRDefault="008E648B" w:rsidP="008E648B">
      <w:pPr>
        <w:jc w:val="both"/>
        <w:rPr>
          <w:sz w:val="24"/>
          <w:szCs w:val="24"/>
        </w:rPr>
      </w:pPr>
      <w:r w:rsidRPr="007E656C">
        <w:rPr>
          <w:sz w:val="24"/>
          <w:szCs w:val="24"/>
        </w:rPr>
        <w:tab/>
        <w:t>Defendants</w:t>
      </w:r>
    </w:p>
    <w:p w:rsidR="008E648B" w:rsidRDefault="008E648B" w:rsidP="008E648B">
      <w:pPr>
        <w:jc w:val="both"/>
        <w:rPr>
          <w:sz w:val="24"/>
          <w:szCs w:val="24"/>
        </w:rPr>
      </w:pPr>
      <w:r w:rsidRPr="007E656C">
        <w:rPr>
          <w:sz w:val="24"/>
          <w:szCs w:val="24"/>
        </w:rPr>
        <w:t>_________________________________________/</w:t>
      </w:r>
    </w:p>
    <w:p w:rsidR="00A3401F" w:rsidRPr="007E656C" w:rsidRDefault="00A3401F" w:rsidP="008E648B">
      <w:pPr>
        <w:jc w:val="both"/>
        <w:rPr>
          <w:sz w:val="24"/>
          <w:szCs w:val="24"/>
        </w:rPr>
      </w:pPr>
    </w:p>
    <w:p w:rsidR="00CC4B66" w:rsidRDefault="00CC4B66" w:rsidP="006F49CB">
      <w:pPr>
        <w:jc w:val="center"/>
        <w:rPr>
          <w:sz w:val="24"/>
          <w:szCs w:val="24"/>
        </w:rPr>
      </w:pPr>
      <w:r>
        <w:rPr>
          <w:sz w:val="24"/>
          <w:szCs w:val="24"/>
        </w:rPr>
        <w:t>ME</w:t>
      </w:r>
      <w:r w:rsidR="00C612E0">
        <w:rPr>
          <w:sz w:val="24"/>
          <w:szCs w:val="24"/>
        </w:rPr>
        <w:t>M</w:t>
      </w:r>
      <w:r>
        <w:rPr>
          <w:sz w:val="24"/>
          <w:szCs w:val="24"/>
        </w:rPr>
        <w:t>ORANDUM OF LAW IN SUPPORT OF</w:t>
      </w:r>
    </w:p>
    <w:p w:rsidR="00BC45A9" w:rsidRPr="00CB2B41" w:rsidRDefault="00CC4B66" w:rsidP="006F49CB">
      <w:pPr>
        <w:jc w:val="center"/>
        <w:rPr>
          <w:sz w:val="24"/>
          <w:szCs w:val="24"/>
        </w:rPr>
      </w:pPr>
      <w:r>
        <w:rPr>
          <w:sz w:val="24"/>
          <w:szCs w:val="24"/>
        </w:rPr>
        <w:t xml:space="preserve">DEFENDANT’S </w:t>
      </w:r>
      <w:r w:rsidR="00980589">
        <w:rPr>
          <w:sz w:val="24"/>
          <w:szCs w:val="24"/>
        </w:rPr>
        <w:t xml:space="preserve">MOTION </w:t>
      </w:r>
      <w:r w:rsidR="009E46F6">
        <w:rPr>
          <w:sz w:val="24"/>
          <w:szCs w:val="24"/>
        </w:rPr>
        <w:t xml:space="preserve">FOR </w:t>
      </w:r>
      <w:r w:rsidR="00C426BB">
        <w:rPr>
          <w:sz w:val="24"/>
          <w:szCs w:val="24"/>
        </w:rPr>
        <w:t>SUMMARY JUDGMENT</w:t>
      </w:r>
      <w:r w:rsidR="00980589">
        <w:rPr>
          <w:sz w:val="24"/>
          <w:szCs w:val="24"/>
        </w:rPr>
        <w:t xml:space="preserve"> </w:t>
      </w:r>
    </w:p>
    <w:p w:rsidR="008E648B" w:rsidRPr="00CB2B41" w:rsidRDefault="008E648B" w:rsidP="008E648B">
      <w:pPr>
        <w:jc w:val="both"/>
        <w:rPr>
          <w:sz w:val="24"/>
          <w:szCs w:val="24"/>
        </w:rPr>
      </w:pPr>
    </w:p>
    <w:p w:rsidR="00C612E0" w:rsidRDefault="008E648B" w:rsidP="008E648B">
      <w:pPr>
        <w:spacing w:line="480" w:lineRule="auto"/>
        <w:ind w:firstLine="720"/>
        <w:jc w:val="both"/>
        <w:rPr>
          <w:noProof w:val="0"/>
          <w:spacing w:val="-2"/>
          <w:sz w:val="24"/>
          <w:szCs w:val="24"/>
        </w:rPr>
      </w:pPr>
      <w:r>
        <w:rPr>
          <w:noProof w:val="0"/>
          <w:spacing w:val="-2"/>
          <w:sz w:val="24"/>
          <w:szCs w:val="24"/>
        </w:rPr>
        <w:t xml:space="preserve">Defendant </w:t>
      </w:r>
      <w:r w:rsidR="009E46F6">
        <w:rPr>
          <w:noProof w:val="0"/>
          <w:spacing w:val="-2"/>
          <w:sz w:val="24"/>
          <w:szCs w:val="24"/>
        </w:rPr>
        <w:t>Victoria Ponce</w:t>
      </w:r>
      <w:r w:rsidR="00980589">
        <w:rPr>
          <w:noProof w:val="0"/>
          <w:spacing w:val="-2"/>
          <w:sz w:val="24"/>
          <w:szCs w:val="24"/>
        </w:rPr>
        <w:t xml:space="preserve">, </w:t>
      </w:r>
      <w:r w:rsidR="00426EEF">
        <w:rPr>
          <w:noProof w:val="0"/>
          <w:spacing w:val="-2"/>
          <w:sz w:val="24"/>
          <w:szCs w:val="24"/>
        </w:rPr>
        <w:t>by and through h</w:t>
      </w:r>
      <w:r w:rsidR="009E46F6">
        <w:rPr>
          <w:noProof w:val="0"/>
          <w:spacing w:val="-2"/>
          <w:sz w:val="24"/>
          <w:szCs w:val="24"/>
        </w:rPr>
        <w:t>er</w:t>
      </w:r>
      <w:r w:rsidR="00426EEF">
        <w:rPr>
          <w:noProof w:val="0"/>
          <w:spacing w:val="-2"/>
          <w:sz w:val="24"/>
          <w:szCs w:val="24"/>
        </w:rPr>
        <w:t xml:space="preserve"> un</w:t>
      </w:r>
      <w:r w:rsidR="00C426BB">
        <w:rPr>
          <w:noProof w:val="0"/>
          <w:spacing w:val="-2"/>
          <w:sz w:val="24"/>
          <w:szCs w:val="24"/>
        </w:rPr>
        <w:t xml:space="preserve">dersigned attorney, files this </w:t>
      </w:r>
      <w:r w:rsidR="00CC4B66">
        <w:rPr>
          <w:noProof w:val="0"/>
          <w:spacing w:val="-2"/>
          <w:sz w:val="24"/>
          <w:szCs w:val="24"/>
        </w:rPr>
        <w:t xml:space="preserve">memorandum of law in support of her </w:t>
      </w:r>
      <w:r w:rsidR="00C426BB">
        <w:rPr>
          <w:noProof w:val="0"/>
          <w:spacing w:val="-2"/>
          <w:sz w:val="24"/>
          <w:szCs w:val="24"/>
        </w:rPr>
        <w:t>m</w:t>
      </w:r>
      <w:r w:rsidR="00426EEF">
        <w:rPr>
          <w:noProof w:val="0"/>
          <w:spacing w:val="-2"/>
          <w:sz w:val="24"/>
          <w:szCs w:val="24"/>
        </w:rPr>
        <w:t xml:space="preserve">otion </w:t>
      </w:r>
      <w:r w:rsidR="009E46F6">
        <w:rPr>
          <w:noProof w:val="0"/>
          <w:spacing w:val="-2"/>
          <w:sz w:val="24"/>
          <w:szCs w:val="24"/>
        </w:rPr>
        <w:t xml:space="preserve">for </w:t>
      </w:r>
      <w:r w:rsidR="00C426BB">
        <w:rPr>
          <w:noProof w:val="0"/>
          <w:spacing w:val="-2"/>
          <w:sz w:val="24"/>
          <w:szCs w:val="24"/>
        </w:rPr>
        <w:t xml:space="preserve">summary judgment </w:t>
      </w:r>
      <w:r w:rsidR="00C612E0">
        <w:rPr>
          <w:noProof w:val="0"/>
          <w:spacing w:val="-2"/>
          <w:sz w:val="24"/>
          <w:szCs w:val="24"/>
        </w:rPr>
        <w:t xml:space="preserve">and states: </w:t>
      </w:r>
    </w:p>
    <w:p w:rsidR="00533F88" w:rsidRDefault="00C612E0" w:rsidP="00C612E0">
      <w:pPr>
        <w:spacing w:line="480" w:lineRule="auto"/>
        <w:jc w:val="both"/>
        <w:rPr>
          <w:sz w:val="24"/>
          <w:szCs w:val="24"/>
        </w:rPr>
      </w:pPr>
      <w:r>
        <w:rPr>
          <w:sz w:val="24"/>
          <w:szCs w:val="24"/>
        </w:rPr>
        <w:tab/>
        <w:t>In Florida, the prosecution of a foreclosure action is by the owner and holder of the mortgage and the note.   In this case, Plaintiff lacks standing because</w:t>
      </w:r>
      <w:r w:rsidR="00AA0BD5">
        <w:rPr>
          <w:sz w:val="24"/>
          <w:szCs w:val="24"/>
        </w:rPr>
        <w:t xml:space="preserve"> the undisputed facts show that it was not the </w:t>
      </w:r>
      <w:r>
        <w:rPr>
          <w:sz w:val="24"/>
          <w:szCs w:val="24"/>
        </w:rPr>
        <w:t>the owner and holder of either the promissory note or mortgage</w:t>
      </w:r>
      <w:r w:rsidR="00AA0BD5">
        <w:rPr>
          <w:sz w:val="24"/>
          <w:szCs w:val="24"/>
        </w:rPr>
        <w:t xml:space="preserve"> at the time the foreclosure complaint was filed.  The case should be dismissed with prejudice since Plaintiff cannot </w:t>
      </w:r>
      <w:r w:rsidR="00533F88">
        <w:rPr>
          <w:sz w:val="24"/>
          <w:szCs w:val="24"/>
        </w:rPr>
        <w:t>cure the defects by its post filings.</w:t>
      </w:r>
    </w:p>
    <w:p w:rsidR="00533F88" w:rsidRDefault="00533F88" w:rsidP="00C612E0">
      <w:pPr>
        <w:spacing w:line="480" w:lineRule="auto"/>
        <w:jc w:val="both"/>
        <w:rPr>
          <w:sz w:val="24"/>
          <w:szCs w:val="24"/>
        </w:rPr>
      </w:pPr>
    </w:p>
    <w:p w:rsidR="00680EEF" w:rsidRDefault="00533F88" w:rsidP="00533F88">
      <w:pPr>
        <w:numPr>
          <w:ilvl w:val="0"/>
          <w:numId w:val="5"/>
        </w:numPr>
        <w:ind w:left="720" w:right="720" w:firstLine="0"/>
        <w:jc w:val="both"/>
        <w:rPr>
          <w:sz w:val="24"/>
          <w:szCs w:val="24"/>
        </w:rPr>
      </w:pPr>
      <w:r>
        <w:rPr>
          <w:sz w:val="24"/>
          <w:szCs w:val="24"/>
        </w:rPr>
        <w:t xml:space="preserve"> PLAINTIFF LACKS STANDING AS IT DID </w:t>
      </w:r>
      <w:r w:rsidR="00680EEF">
        <w:rPr>
          <w:sz w:val="24"/>
          <w:szCs w:val="24"/>
        </w:rPr>
        <w:t xml:space="preserve">NOT </w:t>
      </w:r>
      <w:r>
        <w:rPr>
          <w:sz w:val="24"/>
          <w:szCs w:val="24"/>
        </w:rPr>
        <w:t xml:space="preserve">HOLD </w:t>
      </w:r>
    </w:p>
    <w:p w:rsidR="00533F88" w:rsidRDefault="00533F88" w:rsidP="00680EEF">
      <w:pPr>
        <w:ind w:left="720" w:right="720"/>
        <w:jc w:val="both"/>
        <w:rPr>
          <w:sz w:val="24"/>
          <w:szCs w:val="24"/>
        </w:rPr>
      </w:pPr>
      <w:r>
        <w:rPr>
          <w:sz w:val="24"/>
          <w:szCs w:val="24"/>
        </w:rPr>
        <w:t>THE NOTE AT THE TIME THE FORECLOSURE ACTION WAS FILED.</w:t>
      </w:r>
    </w:p>
    <w:p w:rsidR="00533F88" w:rsidRDefault="00533F88" w:rsidP="00533F88">
      <w:pPr>
        <w:ind w:left="1080"/>
        <w:jc w:val="both"/>
        <w:rPr>
          <w:sz w:val="24"/>
          <w:szCs w:val="24"/>
        </w:rPr>
      </w:pPr>
    </w:p>
    <w:p w:rsidR="00C612E0" w:rsidRDefault="00C612E0" w:rsidP="00533F88">
      <w:pPr>
        <w:autoSpaceDE w:val="0"/>
        <w:spacing w:line="480" w:lineRule="auto"/>
        <w:ind w:firstLine="720"/>
        <w:jc w:val="both"/>
        <w:rPr>
          <w:sz w:val="24"/>
          <w:szCs w:val="24"/>
        </w:rPr>
      </w:pPr>
      <w:r>
        <w:rPr>
          <w:sz w:val="24"/>
          <w:szCs w:val="24"/>
        </w:rPr>
        <w:t>Plaintiff is not entitled to maintain an action in which it seeks to foreclose on a note which Plaintiff does not</w:t>
      </w:r>
      <w:r w:rsidR="00680EEF">
        <w:rPr>
          <w:sz w:val="24"/>
          <w:szCs w:val="24"/>
        </w:rPr>
        <w:t xml:space="preserve"> hold and</w:t>
      </w:r>
      <w:r>
        <w:rPr>
          <w:sz w:val="24"/>
          <w:szCs w:val="24"/>
        </w:rPr>
        <w:t xml:space="preserve"> own. </w:t>
      </w:r>
      <w:r w:rsidRPr="00F50C7E">
        <w:rPr>
          <w:i/>
          <w:sz w:val="24"/>
          <w:szCs w:val="24"/>
        </w:rPr>
        <w:t>Your Construction Center, Inc. v. Gross</w:t>
      </w:r>
      <w:r>
        <w:rPr>
          <w:sz w:val="24"/>
          <w:szCs w:val="24"/>
        </w:rPr>
        <w:t xml:space="preserve">, 316 So. 2d 596 (Fla. 4th DCA 1975).  Every mortgage loan is composed of two documents – the note instrument and the mortgage instrument.  No matter how much the mortgage instrument is acclaimed as the basis of the agreement, the note instrument is the essence of the debt.  </w:t>
      </w:r>
      <w:r w:rsidRPr="001E082B">
        <w:rPr>
          <w:i/>
          <w:sz w:val="24"/>
          <w:szCs w:val="24"/>
        </w:rPr>
        <w:t>Sobel v. Mutual Dev. Inc.,</w:t>
      </w:r>
      <w:r>
        <w:rPr>
          <w:sz w:val="24"/>
          <w:szCs w:val="24"/>
        </w:rPr>
        <w:t xml:space="preserve"> 313 So. 2d 77 (Fla. 1 DCA, 1975); </w:t>
      </w:r>
      <w:r w:rsidRPr="001E082B">
        <w:rPr>
          <w:i/>
          <w:sz w:val="24"/>
          <w:szCs w:val="24"/>
        </w:rPr>
        <w:t>Pepe v. Shepherd</w:t>
      </w:r>
      <w:r>
        <w:rPr>
          <w:sz w:val="24"/>
          <w:szCs w:val="24"/>
        </w:rPr>
        <w:t xml:space="preserve">, 422 So. 2d 910 (Fla. 3 DCA 1982); </w:t>
      </w:r>
      <w:r w:rsidRPr="001E082B">
        <w:rPr>
          <w:i/>
          <w:sz w:val="24"/>
          <w:szCs w:val="24"/>
        </w:rPr>
        <w:t>Margiewicz v. Terco Prop</w:t>
      </w:r>
      <w:r>
        <w:rPr>
          <w:sz w:val="24"/>
          <w:szCs w:val="24"/>
          <w:u w:val="single"/>
        </w:rPr>
        <w:t>.</w:t>
      </w:r>
      <w:r>
        <w:rPr>
          <w:sz w:val="24"/>
          <w:szCs w:val="24"/>
        </w:rPr>
        <w:t xml:space="preserve">, 441 So. 2d 1124 (Fla. 3 DCA 1983); RESTATEMENT (THIRD) OF </w:t>
      </w:r>
      <w:r>
        <w:rPr>
          <w:sz w:val="24"/>
          <w:szCs w:val="24"/>
        </w:rPr>
        <w:lastRenderedPageBreak/>
        <w:t xml:space="preserve">PROPERTY (MORTGAGES) </w:t>
      </w:r>
      <w:r>
        <w:rPr>
          <w:rFonts w:eastAsia="Arial" w:cs="Arial"/>
          <w:sz w:val="24"/>
          <w:szCs w:val="24"/>
        </w:rPr>
        <w:t>§</w:t>
      </w:r>
      <w:r>
        <w:rPr>
          <w:sz w:val="24"/>
          <w:szCs w:val="24"/>
        </w:rPr>
        <w:t xml:space="preserve"> 5.4 (1997).   The promissory note is evidence of the primary mortgage obligation.  The mortgage is only a mere incident to the note.  </w:t>
      </w:r>
      <w:r w:rsidRPr="001E082B">
        <w:rPr>
          <w:i/>
          <w:sz w:val="24"/>
          <w:szCs w:val="24"/>
        </w:rPr>
        <w:t>Brown v. Snell</w:t>
      </w:r>
      <w:r>
        <w:rPr>
          <w:sz w:val="24"/>
          <w:szCs w:val="24"/>
        </w:rPr>
        <w:t xml:space="preserve">, 6 Fla. 741 (1856); </w:t>
      </w:r>
      <w:r w:rsidRPr="001E082B">
        <w:rPr>
          <w:i/>
          <w:sz w:val="24"/>
          <w:szCs w:val="24"/>
        </w:rPr>
        <w:t>Tayton v. American Nat’l Bank</w:t>
      </w:r>
      <w:r>
        <w:rPr>
          <w:sz w:val="24"/>
          <w:szCs w:val="24"/>
        </w:rPr>
        <w:t xml:space="preserve">, 57 So. 678 (Fla. 1912); </w:t>
      </w:r>
      <w:r w:rsidRPr="001E082B">
        <w:rPr>
          <w:i/>
          <w:sz w:val="24"/>
          <w:szCs w:val="24"/>
        </w:rPr>
        <w:t>Scott v. Taylor</w:t>
      </w:r>
      <w:r>
        <w:rPr>
          <w:sz w:val="24"/>
          <w:szCs w:val="24"/>
        </w:rPr>
        <w:t xml:space="preserve">, 58 So. 30 (Fla. 1912); </w:t>
      </w:r>
      <w:r w:rsidRPr="001E082B">
        <w:rPr>
          <w:i/>
          <w:sz w:val="24"/>
          <w:szCs w:val="24"/>
        </w:rPr>
        <w:t>Young v. Victory</w:t>
      </w:r>
      <w:r>
        <w:rPr>
          <w:sz w:val="24"/>
          <w:szCs w:val="24"/>
        </w:rPr>
        <w:t xml:space="preserve">, 150 So. 624 (Fla. 1933); </w:t>
      </w:r>
      <w:r w:rsidRPr="001E082B">
        <w:rPr>
          <w:i/>
          <w:sz w:val="24"/>
          <w:szCs w:val="24"/>
        </w:rPr>
        <w:t>Thomas v. Hartman</w:t>
      </w:r>
      <w:r>
        <w:rPr>
          <w:sz w:val="24"/>
          <w:szCs w:val="24"/>
        </w:rPr>
        <w:t xml:space="preserve">, 553 So. 2d 1256 (Fla. 5 DCA 1989); RESTATEMENT (THIRD) OF PROPERTY (MORTGAGES) </w:t>
      </w:r>
      <w:r>
        <w:rPr>
          <w:rFonts w:eastAsia="Arial" w:cs="Arial"/>
          <w:sz w:val="24"/>
          <w:szCs w:val="24"/>
        </w:rPr>
        <w:t>§</w:t>
      </w:r>
      <w:r>
        <w:rPr>
          <w:sz w:val="24"/>
          <w:szCs w:val="24"/>
        </w:rPr>
        <w:t xml:space="preserve"> 1.01 (1997)   The mortgage instrument is only the security for the indebtedness.  </w:t>
      </w:r>
      <w:r w:rsidRPr="001E082B">
        <w:rPr>
          <w:i/>
          <w:sz w:val="24"/>
          <w:szCs w:val="24"/>
        </w:rPr>
        <w:t>Grier v. M.H.C. Realty Co.,</w:t>
      </w:r>
      <w:r>
        <w:rPr>
          <w:sz w:val="24"/>
          <w:szCs w:val="24"/>
        </w:rPr>
        <w:t xml:space="preserve"> 274 So. 2d 21 (Fla. 4 DCA 1973); </w:t>
      </w:r>
      <w:r w:rsidRPr="001E082B">
        <w:rPr>
          <w:i/>
          <w:sz w:val="24"/>
          <w:szCs w:val="24"/>
        </w:rPr>
        <w:t>Mellor v. Goldberg</w:t>
      </w:r>
      <w:r>
        <w:rPr>
          <w:sz w:val="24"/>
          <w:szCs w:val="24"/>
        </w:rPr>
        <w:t xml:space="preserve">, 658 So. 2d 1162 (Fla. 2 DCA 1995); </w:t>
      </w:r>
      <w:r w:rsidRPr="001E082B">
        <w:rPr>
          <w:i/>
          <w:sz w:val="24"/>
          <w:szCs w:val="24"/>
        </w:rPr>
        <w:t>Century Group Inc. v. Premier Fin. Services East L. P.,</w:t>
      </w:r>
      <w:r>
        <w:rPr>
          <w:sz w:val="24"/>
          <w:szCs w:val="24"/>
        </w:rPr>
        <w:t xml:space="preserve"> 724 So. 2d 661 (Fla. 2 DCA 1999).  </w:t>
      </w:r>
    </w:p>
    <w:p w:rsidR="00144D73" w:rsidRDefault="00C612E0" w:rsidP="00C612E0">
      <w:pPr>
        <w:autoSpaceDE w:val="0"/>
        <w:spacing w:after="202" w:line="480" w:lineRule="auto"/>
        <w:jc w:val="both"/>
        <w:rPr>
          <w:sz w:val="24"/>
          <w:szCs w:val="24"/>
        </w:rPr>
      </w:pPr>
      <w:r>
        <w:rPr>
          <w:rFonts w:eastAsia="Arial"/>
          <w:sz w:val="24"/>
          <w:szCs w:val="24"/>
        </w:rPr>
        <w:tab/>
      </w:r>
      <w:r>
        <w:rPr>
          <w:rFonts w:eastAsia="Arial" w:cs="Arial"/>
          <w:sz w:val="24"/>
          <w:szCs w:val="24"/>
        </w:rPr>
        <w:t xml:space="preserve">The subject promissory note is a “negotiable instrument” because it is an unconditional promise to pay a fixed amount of money and it was payable to the order of </w:t>
      </w:r>
      <w:r w:rsidR="00533F88">
        <w:rPr>
          <w:rFonts w:eastAsia="Arial" w:cs="Arial"/>
          <w:sz w:val="24"/>
          <w:szCs w:val="24"/>
        </w:rPr>
        <w:t>Irwin Mortgage Corporation</w:t>
      </w:r>
      <w:r>
        <w:rPr>
          <w:rFonts w:eastAsia="Arial" w:cs="Arial"/>
          <w:sz w:val="24"/>
          <w:szCs w:val="24"/>
        </w:rPr>
        <w:t xml:space="preserve"> at the time it was first issued. (§ 673.1041(1), Fla. Stat. (2009);  § 673.1041(2), Fla. Stat. (2009); § 673.1041(5),Fla. Stat. (2009);  and § 673.1091(2), Fla. Stat. (2009)).  </w:t>
      </w:r>
      <w:r>
        <w:rPr>
          <w:sz w:val="24"/>
          <w:szCs w:val="24"/>
        </w:rPr>
        <w:t xml:space="preserve">Florida law </w:t>
      </w:r>
      <w:r w:rsidR="00144D73">
        <w:rPr>
          <w:sz w:val="24"/>
          <w:szCs w:val="24"/>
        </w:rPr>
        <w:t>establises three categories of</w:t>
      </w:r>
      <w:r>
        <w:rPr>
          <w:sz w:val="24"/>
          <w:szCs w:val="24"/>
        </w:rPr>
        <w:t xml:space="preserve"> those who are entitled to enforce a negotiable instrument</w:t>
      </w:r>
      <w:r w:rsidR="00144D73">
        <w:rPr>
          <w:sz w:val="24"/>
          <w:szCs w:val="24"/>
        </w:rPr>
        <w:t>:</w:t>
      </w:r>
    </w:p>
    <w:p w:rsidR="00144D73" w:rsidRPr="00144D73" w:rsidRDefault="00E3028C" w:rsidP="00E3028C">
      <w:pPr>
        <w:numPr>
          <w:ilvl w:val="0"/>
          <w:numId w:val="6"/>
        </w:numPr>
        <w:autoSpaceDE w:val="0"/>
        <w:spacing w:after="202"/>
        <w:jc w:val="both"/>
        <w:rPr>
          <w:rFonts w:eastAsia="Arial" w:cs="Arial"/>
          <w:sz w:val="24"/>
          <w:szCs w:val="24"/>
        </w:rPr>
      </w:pPr>
      <w:r>
        <w:rPr>
          <w:sz w:val="24"/>
          <w:szCs w:val="24"/>
        </w:rPr>
        <w:t xml:space="preserve"> </w:t>
      </w:r>
      <w:r w:rsidR="00144D73">
        <w:rPr>
          <w:sz w:val="24"/>
          <w:szCs w:val="24"/>
        </w:rPr>
        <w:t>The holder of the instrument;</w:t>
      </w:r>
    </w:p>
    <w:p w:rsidR="00144D73" w:rsidRDefault="00144D73" w:rsidP="00E3028C">
      <w:pPr>
        <w:numPr>
          <w:ilvl w:val="0"/>
          <w:numId w:val="6"/>
        </w:numPr>
        <w:autoSpaceDE w:val="0"/>
        <w:spacing w:after="202"/>
        <w:jc w:val="both"/>
        <w:rPr>
          <w:rFonts w:eastAsia="Arial" w:cs="Arial"/>
          <w:sz w:val="24"/>
          <w:szCs w:val="24"/>
        </w:rPr>
      </w:pPr>
      <w:r>
        <w:rPr>
          <w:sz w:val="24"/>
          <w:szCs w:val="24"/>
        </w:rPr>
        <w:t xml:space="preserve">  A non</w:t>
      </w:r>
      <w:r w:rsidR="00C612E0">
        <w:rPr>
          <w:rFonts w:eastAsia="Arial" w:cs="Arial"/>
          <w:sz w:val="24"/>
          <w:szCs w:val="24"/>
        </w:rPr>
        <w:t>holder in possession</w:t>
      </w:r>
      <w:r>
        <w:rPr>
          <w:rFonts w:eastAsia="Arial" w:cs="Arial"/>
          <w:sz w:val="24"/>
          <w:szCs w:val="24"/>
        </w:rPr>
        <w:t xml:space="preserve"> of the instrument</w:t>
      </w:r>
      <w:r w:rsidR="00C612E0">
        <w:rPr>
          <w:rFonts w:eastAsia="Arial" w:cs="Arial"/>
          <w:sz w:val="24"/>
          <w:szCs w:val="24"/>
        </w:rPr>
        <w:t xml:space="preserve"> who has the rights of a holder</w:t>
      </w:r>
      <w:r>
        <w:rPr>
          <w:rFonts w:eastAsia="Arial" w:cs="Arial"/>
          <w:sz w:val="24"/>
          <w:szCs w:val="24"/>
        </w:rPr>
        <w:t>; or</w:t>
      </w:r>
    </w:p>
    <w:p w:rsidR="00E3028C" w:rsidRDefault="00144D73" w:rsidP="00E3028C">
      <w:pPr>
        <w:numPr>
          <w:ilvl w:val="0"/>
          <w:numId w:val="6"/>
        </w:numPr>
        <w:autoSpaceDE w:val="0"/>
        <w:spacing w:after="202"/>
        <w:jc w:val="both"/>
        <w:rPr>
          <w:rFonts w:eastAsia="Arial" w:cs="Arial"/>
          <w:sz w:val="24"/>
          <w:szCs w:val="24"/>
        </w:rPr>
      </w:pPr>
      <w:r>
        <w:rPr>
          <w:sz w:val="24"/>
          <w:szCs w:val="24"/>
        </w:rPr>
        <w:t xml:space="preserve">  A </w:t>
      </w:r>
      <w:r w:rsidR="00C612E0">
        <w:rPr>
          <w:rFonts w:eastAsia="Arial" w:cs="Arial"/>
          <w:sz w:val="24"/>
          <w:szCs w:val="24"/>
        </w:rPr>
        <w:t>person not in possession</w:t>
      </w:r>
      <w:r>
        <w:rPr>
          <w:rFonts w:eastAsia="Arial" w:cs="Arial"/>
          <w:sz w:val="24"/>
          <w:szCs w:val="24"/>
        </w:rPr>
        <w:t xml:space="preserve"> of the instrument</w:t>
      </w:r>
      <w:r w:rsidR="00C612E0">
        <w:rPr>
          <w:rFonts w:eastAsia="Arial" w:cs="Arial"/>
          <w:sz w:val="24"/>
          <w:szCs w:val="24"/>
        </w:rPr>
        <w:t xml:space="preserve"> who is entitled to enforce</w:t>
      </w:r>
      <w:r w:rsidR="00E3028C">
        <w:rPr>
          <w:rFonts w:eastAsia="Arial" w:cs="Arial"/>
          <w:sz w:val="24"/>
          <w:szCs w:val="24"/>
        </w:rPr>
        <w:t xml:space="preserve"> the instrument pursuant to s. 673.3091 or s. 673.4181(4).</w:t>
      </w:r>
    </w:p>
    <w:p w:rsidR="00144D73" w:rsidRDefault="00C612E0" w:rsidP="00E3028C">
      <w:pPr>
        <w:autoSpaceDE w:val="0"/>
        <w:spacing w:after="202" w:line="480" w:lineRule="auto"/>
        <w:jc w:val="both"/>
        <w:rPr>
          <w:rFonts w:eastAsia="Arial" w:cs="Arial"/>
          <w:sz w:val="24"/>
          <w:szCs w:val="24"/>
        </w:rPr>
      </w:pPr>
      <w:r>
        <w:rPr>
          <w:rFonts w:eastAsia="Arial" w:cs="Arial"/>
          <w:sz w:val="24"/>
          <w:szCs w:val="24"/>
        </w:rPr>
        <w:t xml:space="preserve">§ 673.3011, Fla. Stat. (2009).  </w:t>
      </w:r>
    </w:p>
    <w:p w:rsidR="00F45643" w:rsidRDefault="00E3028C" w:rsidP="00144D73">
      <w:pPr>
        <w:autoSpaceDE w:val="0"/>
        <w:spacing w:after="202" w:line="480" w:lineRule="auto"/>
        <w:ind w:firstLine="720"/>
        <w:jc w:val="both"/>
        <w:rPr>
          <w:rFonts w:eastAsia="Arial" w:cs="Arial"/>
          <w:sz w:val="24"/>
          <w:szCs w:val="24"/>
        </w:rPr>
      </w:pPr>
      <w:r>
        <w:rPr>
          <w:rFonts w:eastAsia="Arial" w:cs="Arial"/>
          <w:sz w:val="24"/>
          <w:szCs w:val="24"/>
        </w:rPr>
        <w:t>In this case, Plaintiff originally filed a complaint with two inconsistent counts.  Count I state</w:t>
      </w:r>
      <w:r w:rsidR="00680EEF">
        <w:rPr>
          <w:rFonts w:eastAsia="Arial" w:cs="Arial"/>
          <w:sz w:val="24"/>
          <w:szCs w:val="24"/>
        </w:rPr>
        <w:t>d</w:t>
      </w:r>
      <w:r>
        <w:rPr>
          <w:rFonts w:eastAsia="Arial" w:cs="Arial"/>
          <w:sz w:val="24"/>
          <w:szCs w:val="24"/>
        </w:rPr>
        <w:t xml:space="preserve"> the promissory note </w:t>
      </w:r>
      <w:r w:rsidR="00680EEF">
        <w:rPr>
          <w:rFonts w:eastAsia="Arial" w:cs="Arial"/>
          <w:sz w:val="24"/>
          <w:szCs w:val="24"/>
        </w:rPr>
        <w:t xml:space="preserve">was lost </w:t>
      </w:r>
      <w:r>
        <w:rPr>
          <w:rFonts w:eastAsia="Arial" w:cs="Arial"/>
          <w:sz w:val="24"/>
          <w:szCs w:val="24"/>
        </w:rPr>
        <w:t>and therefore the action was being brought under subparagraph (3).  Plaintiff, subsequent to the filing of the complaint, has now filed a notice of filing of the original promissory note.  Hence Plaintiff’s claim now is under Count II where Plaintiff alleges it is the “present designated holder of the note and mortgage with authority to pursue the present action.”</w:t>
      </w:r>
      <w:r w:rsidR="00F45643">
        <w:rPr>
          <w:rFonts w:eastAsia="Arial" w:cs="Arial"/>
          <w:sz w:val="24"/>
          <w:szCs w:val="24"/>
        </w:rPr>
        <w:t xml:space="preserve">  For it to be a holder, Plaintiff has to present evidence there was a </w:t>
      </w:r>
      <w:r w:rsidR="00F45643">
        <w:rPr>
          <w:rFonts w:eastAsia="Arial" w:cs="Arial"/>
          <w:sz w:val="24"/>
          <w:szCs w:val="24"/>
        </w:rPr>
        <w:lastRenderedPageBreak/>
        <w:t xml:space="preserve">transfer of possession and an endorsement by the holder prior to the filing of the law suit.   </w:t>
      </w:r>
    </w:p>
    <w:p w:rsidR="00680EEF" w:rsidRDefault="00F45643" w:rsidP="00F45643">
      <w:pPr>
        <w:autoSpaceDE w:val="0"/>
        <w:spacing w:after="202" w:line="480" w:lineRule="auto"/>
        <w:ind w:firstLine="720"/>
        <w:jc w:val="both"/>
        <w:rPr>
          <w:rFonts w:eastAsia="Arial" w:cs="Arial"/>
          <w:sz w:val="24"/>
          <w:szCs w:val="24"/>
        </w:rPr>
      </w:pPr>
      <w:r>
        <w:rPr>
          <w:rFonts w:eastAsia="Arial" w:cs="Arial"/>
          <w:sz w:val="24"/>
          <w:szCs w:val="24"/>
        </w:rPr>
        <w:t xml:space="preserve">This Plaintiff has not done.  Plaintiff has claimed to file the original promissory note.  However, it “bears an undated indorsement that appears to be a carbon/toner reproduction, not one signed in color ink.”  Paragraph 17 of affidavit by Gregory Clark.  Morevover, Plaintiff “has not submitted admissible evidence in support of its authority or power.”  Paragraph 18 of affidavit by Gregory Clark.  </w:t>
      </w:r>
    </w:p>
    <w:p w:rsidR="00C612E0" w:rsidRDefault="00F45643" w:rsidP="00F45643">
      <w:pPr>
        <w:autoSpaceDE w:val="0"/>
        <w:spacing w:after="202" w:line="480" w:lineRule="auto"/>
        <w:ind w:firstLine="720"/>
        <w:jc w:val="both"/>
        <w:rPr>
          <w:rFonts w:eastAsia="Arial" w:cs="Arial"/>
          <w:sz w:val="24"/>
          <w:szCs w:val="24"/>
        </w:rPr>
      </w:pPr>
      <w:r>
        <w:rPr>
          <w:rFonts w:eastAsia="Arial" w:cs="Arial"/>
          <w:sz w:val="24"/>
          <w:szCs w:val="24"/>
        </w:rPr>
        <w:t xml:space="preserve">The mere filing of the original promissory note subsequent to the filing </w:t>
      </w:r>
      <w:r w:rsidR="00C612E0">
        <w:rPr>
          <w:rFonts w:eastAsia="Arial" w:cs="Arial"/>
          <w:sz w:val="24"/>
          <w:szCs w:val="24"/>
        </w:rPr>
        <w:t xml:space="preserve"> </w:t>
      </w:r>
      <w:r>
        <w:rPr>
          <w:rFonts w:eastAsia="Arial" w:cs="Arial"/>
          <w:sz w:val="24"/>
          <w:szCs w:val="24"/>
        </w:rPr>
        <w:t xml:space="preserve">of the initial complaint is not evidence that Plaintiff was the holder at the time of the filing of the lawsuit.  </w:t>
      </w:r>
    </w:p>
    <w:p w:rsidR="00FB5237" w:rsidRPr="00FB5237" w:rsidRDefault="00FB5237" w:rsidP="00FB5237">
      <w:pPr>
        <w:ind w:left="720" w:right="720" w:firstLine="720"/>
        <w:jc w:val="both"/>
        <w:rPr>
          <w:sz w:val="24"/>
          <w:szCs w:val="24"/>
        </w:rPr>
      </w:pPr>
      <w:r w:rsidRPr="00FB5237">
        <w:rPr>
          <w:sz w:val="24"/>
          <w:szCs w:val="24"/>
        </w:rPr>
        <w:t>In this case, U.S. Bank failed to meet this burden because the record before the trial court reflected a genuine issue of material fact as to U.S. Bank's standing to foreclose the mortgage at issue. The proper party with standing to foreclose a note and/or mortgage is the holder of the note and mortgage or the holder's representative. See Mortgage Elec. Registration Sys., Inc. v. Azize, 965 So. 2d 151, 153 (Fla. 2d DCA 2007); Troupe v. Redner, 652 So. 2d 394, 395-96 (Fla. 2d DCA 1995); see also Philogene v. ABN Amro Mortgage Group, Inc., 948 So. 2d 45, 46 (Fla. 4th DCA 2006) ("[W]e conclude that ABN had standing to bring and maintain a mortgage foreclosure action since it demonstrated that it held the note and mortgage in question."). While U.S. Bank alleged in its unverified complaint that it was the holder of the note and mortgage, the copy of the mortgage attached to the complaint lists "Fremont Investment &amp; Loan" as the "lender" and "MERS" as the "mortgagee." When exhibits are attached to a complaint, the contents of the exhibits control over the allegations of the complaint. See, e.g., Hunt Ridge at Tall Pines, Inc. v. Hall, 766 So. 2d 399, 401 (Fla. 2d DCA 2000) ("Where complaint allegations are contradicted by exhibits attached to the complaint, the plain meaning of the exhibits control[s] and may be the basis for a motion to dismiss."); Blue Supply Corp. v. Novos Electro Mech., Inc., 990 So. 2d 1157, 1159 (Fla. 3d DCA 2008); Harry Pepper &amp; Assocs., Inc. v. Lasseter, 247 So. 2d 736, 736-37 (Fla. 3d DCA 1971) (holding that when there is an inconsistency between the allegations of material fact in a complaint and attachments to the complaint, the differing allegations "have the effect of neutralizing each allegation as against the other, thus rendering the pleading objectionable"). Because the exhibit to U.S. Bank's complaint conflicts with its allegations concerning standing and the exhibit does not show that U.S. Bank has standing to foreclose the mortgage, U.S. Bank did not establish its entitlement to foreclose the mortgage as a matter of law.</w:t>
      </w:r>
    </w:p>
    <w:p w:rsidR="00FB5237" w:rsidRPr="00FB5237" w:rsidRDefault="00FB5237" w:rsidP="00FB5237">
      <w:pPr>
        <w:ind w:left="720" w:right="720"/>
        <w:jc w:val="both"/>
        <w:rPr>
          <w:sz w:val="24"/>
          <w:szCs w:val="24"/>
        </w:rPr>
      </w:pPr>
      <w:r w:rsidRPr="00FB5237">
        <w:rPr>
          <w:sz w:val="24"/>
          <w:szCs w:val="24"/>
        </w:rPr>
        <w:t xml:space="preserve">        Moreover, while U.S. Bank subsequently filed the original note, the note did </w:t>
      </w:r>
      <w:r w:rsidRPr="00FB5237">
        <w:rPr>
          <w:sz w:val="24"/>
          <w:szCs w:val="24"/>
        </w:rPr>
        <w:lastRenderedPageBreak/>
        <w:t>not identify U.S. Bank as the lender or holder. U.S. Bank also did not attach an assignment or any other evidence to establish that it had purchased the note and mortgage. Further, it did not file any supporting affidavits or deposition testimony to establish that it owns and holds the note and mortgage. Accordingly, the documents before the trial court at the summary judgment hearing did not establish U.S. Bank's standing to foreclose the note and mortgage, and thus, at this point, U.S. Bank was not entitled to summary judgment in its favor.</w:t>
      </w:r>
    </w:p>
    <w:p w:rsidR="00FB5237" w:rsidRDefault="00FB5237" w:rsidP="00FB5237"/>
    <w:p w:rsidR="00FB5237" w:rsidRDefault="00FB5237" w:rsidP="00FB5237">
      <w:pPr>
        <w:autoSpaceDE w:val="0"/>
        <w:spacing w:after="202" w:line="480" w:lineRule="auto"/>
        <w:jc w:val="both"/>
        <w:rPr>
          <w:rFonts w:eastAsia="Arial" w:cs="Arial"/>
          <w:sz w:val="24"/>
          <w:szCs w:val="24"/>
        </w:rPr>
      </w:pPr>
      <w:r w:rsidRPr="001E0FDC">
        <w:rPr>
          <w:rFonts w:eastAsia="Arial" w:cs="Arial"/>
          <w:i/>
          <w:sz w:val="24"/>
          <w:szCs w:val="24"/>
        </w:rPr>
        <w:t>BAC Funding Consortium Inc. ISAOA/ATIMA</w:t>
      </w:r>
      <w:r>
        <w:rPr>
          <w:rFonts w:eastAsia="Arial" w:cs="Arial"/>
          <w:sz w:val="24"/>
          <w:szCs w:val="24"/>
        </w:rPr>
        <w:t>, 35 Fla. L. Weekly D369 (Fla. 2d DCA Feb. 12, 2010).</w:t>
      </w:r>
    </w:p>
    <w:p w:rsidR="00C612E0" w:rsidRDefault="00C612E0" w:rsidP="00C612E0">
      <w:pPr>
        <w:autoSpaceDE w:val="0"/>
        <w:spacing w:line="480" w:lineRule="auto"/>
        <w:ind w:firstLine="720"/>
        <w:jc w:val="both"/>
        <w:rPr>
          <w:sz w:val="24"/>
          <w:szCs w:val="24"/>
        </w:rPr>
      </w:pPr>
      <w:r>
        <w:rPr>
          <w:sz w:val="24"/>
          <w:szCs w:val="24"/>
        </w:rPr>
        <w:t xml:space="preserve">Plaintiff has not established that it is the real party in interest, is in privity of contract with the true holder of the note or is shown to be authorized to bring this action. </w:t>
      </w:r>
      <w:r w:rsidRPr="00F50C7E">
        <w:rPr>
          <w:i/>
          <w:sz w:val="24"/>
          <w:szCs w:val="24"/>
        </w:rPr>
        <w:t>In re:  Shelter Development Group, Inc.,</w:t>
      </w:r>
      <w:r>
        <w:rPr>
          <w:sz w:val="24"/>
          <w:szCs w:val="24"/>
        </w:rPr>
        <w:t xml:space="preserve"> 50 B.R. 588 (Bankr. S. D. Fla. 1985) [It is axiomatic that a suit cannot be prosecuted to foreclose a mortgage which secures the payment of a promissory note, unless the Plaintiff actually holds the original note, </w:t>
      </w:r>
      <w:r w:rsidRPr="001E0FDC">
        <w:rPr>
          <w:i/>
          <w:sz w:val="24"/>
          <w:szCs w:val="24"/>
        </w:rPr>
        <w:t>citing</w:t>
      </w:r>
      <w:r>
        <w:rPr>
          <w:sz w:val="24"/>
          <w:szCs w:val="24"/>
        </w:rPr>
        <w:t xml:space="preserve"> </w:t>
      </w:r>
      <w:r w:rsidRPr="00F50C7E">
        <w:rPr>
          <w:i/>
          <w:sz w:val="24"/>
          <w:szCs w:val="24"/>
        </w:rPr>
        <w:t>Downing v. First National Bank of Lake City</w:t>
      </w:r>
      <w:r>
        <w:rPr>
          <w:sz w:val="24"/>
          <w:szCs w:val="24"/>
        </w:rPr>
        <w:t xml:space="preserve">, 81 So.2d 486 (Fla. 1955)]; </w:t>
      </w:r>
      <w:r w:rsidRPr="00F50C7E">
        <w:rPr>
          <w:i/>
          <w:sz w:val="24"/>
          <w:szCs w:val="24"/>
        </w:rPr>
        <w:t>Your Construction Center, Inc. v. Gross</w:t>
      </w:r>
      <w:r>
        <w:rPr>
          <w:sz w:val="24"/>
          <w:szCs w:val="24"/>
        </w:rPr>
        <w:t xml:space="preserve">, 316 So. 2d 596 (Fla. 4th DCA 1975), </w:t>
      </w:r>
      <w:r w:rsidRPr="001E0FDC">
        <w:rPr>
          <w:i/>
          <w:sz w:val="24"/>
          <w:szCs w:val="24"/>
        </w:rPr>
        <w:t>See also</w:t>
      </w:r>
      <w:r>
        <w:rPr>
          <w:sz w:val="24"/>
          <w:szCs w:val="24"/>
        </w:rPr>
        <w:t xml:space="preserve"> 37 Fla. Jur. Mortgages and Deeds of Trust ‘240 (One who does not have the ownership, possession, or the right to possession of the mortgage and the obligation secured by it, may not foreclose the mortgage).</w:t>
      </w:r>
    </w:p>
    <w:p w:rsidR="001E0FDC" w:rsidRDefault="00A14F5C" w:rsidP="00C612E0">
      <w:pPr>
        <w:autoSpaceDE w:val="0"/>
        <w:spacing w:line="480" w:lineRule="auto"/>
        <w:ind w:firstLine="720"/>
        <w:jc w:val="both"/>
        <w:rPr>
          <w:sz w:val="24"/>
          <w:szCs w:val="24"/>
        </w:rPr>
      </w:pPr>
      <w:r>
        <w:rPr>
          <w:sz w:val="24"/>
          <w:szCs w:val="24"/>
        </w:rPr>
        <w:t>Since Plaintiff has failed to present any evidence that it obtained possession and became the holder of the promissory note prior to filing this complaint, this Court should grant Ms. Ponce’s motion for summary judgment and dismiss this case with prejudice.</w:t>
      </w:r>
    </w:p>
    <w:p w:rsidR="00A14F5C" w:rsidRDefault="00A14F5C" w:rsidP="00C612E0">
      <w:pPr>
        <w:autoSpaceDE w:val="0"/>
        <w:spacing w:line="480" w:lineRule="auto"/>
        <w:ind w:firstLine="720"/>
        <w:jc w:val="both"/>
        <w:rPr>
          <w:sz w:val="24"/>
          <w:szCs w:val="24"/>
        </w:rPr>
      </w:pPr>
    </w:p>
    <w:p w:rsidR="00AB0071" w:rsidRDefault="00AB0071" w:rsidP="0044029D">
      <w:pPr>
        <w:numPr>
          <w:ilvl w:val="0"/>
          <w:numId w:val="5"/>
        </w:numPr>
        <w:autoSpaceDE w:val="0"/>
        <w:jc w:val="both"/>
        <w:rPr>
          <w:sz w:val="24"/>
          <w:szCs w:val="24"/>
        </w:rPr>
      </w:pPr>
      <w:r>
        <w:rPr>
          <w:sz w:val="24"/>
          <w:szCs w:val="24"/>
        </w:rPr>
        <w:t xml:space="preserve"> THE UNDISPUTED FACTS SHOW THAT PLAINTIFF </w:t>
      </w:r>
      <w:r w:rsidR="001E0FDC">
        <w:rPr>
          <w:sz w:val="24"/>
          <w:szCs w:val="24"/>
        </w:rPr>
        <w:t>DID NOT HAVE</w:t>
      </w:r>
      <w:r>
        <w:rPr>
          <w:sz w:val="24"/>
          <w:szCs w:val="24"/>
        </w:rPr>
        <w:t xml:space="preserve"> THE RIGHT TO ENFORCE THE MORT</w:t>
      </w:r>
      <w:r w:rsidR="001E0FDC">
        <w:rPr>
          <w:sz w:val="24"/>
          <w:szCs w:val="24"/>
        </w:rPr>
        <w:t>G</w:t>
      </w:r>
      <w:r>
        <w:rPr>
          <w:sz w:val="24"/>
          <w:szCs w:val="24"/>
        </w:rPr>
        <w:t>AGE AT THE TIME OF THE FILING OF THIS LAWSUIT.</w:t>
      </w:r>
    </w:p>
    <w:p w:rsidR="0044029D" w:rsidRDefault="0044029D" w:rsidP="0044029D">
      <w:pPr>
        <w:autoSpaceDE w:val="0"/>
        <w:ind w:left="1080"/>
        <w:jc w:val="both"/>
        <w:rPr>
          <w:sz w:val="24"/>
          <w:szCs w:val="24"/>
        </w:rPr>
      </w:pPr>
    </w:p>
    <w:p w:rsidR="00AB0071" w:rsidRDefault="00AB0071" w:rsidP="0044029D">
      <w:pPr>
        <w:autoSpaceDE w:val="0"/>
        <w:spacing w:line="480" w:lineRule="auto"/>
        <w:ind w:firstLine="360"/>
        <w:jc w:val="both"/>
        <w:rPr>
          <w:sz w:val="24"/>
          <w:szCs w:val="24"/>
        </w:rPr>
      </w:pPr>
      <w:r w:rsidRPr="0044029D">
        <w:rPr>
          <w:sz w:val="24"/>
          <w:szCs w:val="24"/>
        </w:rPr>
        <w:t xml:space="preserve">Even if Plaintiff is the holder of the promissory note, that does not automatically give it the right to foreclose on the mortgage.   In this case, the undisputed facts show that Plaintiff does not </w:t>
      </w:r>
      <w:r w:rsidRPr="0044029D">
        <w:rPr>
          <w:sz w:val="24"/>
          <w:szCs w:val="24"/>
        </w:rPr>
        <w:lastRenderedPageBreak/>
        <w:t>have the right to foreclose upon the mortgage that was attached to the complaint.</w:t>
      </w:r>
    </w:p>
    <w:p w:rsidR="00F45643" w:rsidRDefault="007A7842" w:rsidP="00C412EB">
      <w:pPr>
        <w:autoSpaceDE w:val="0"/>
        <w:spacing w:line="480" w:lineRule="auto"/>
        <w:ind w:firstLine="360"/>
        <w:jc w:val="both"/>
        <w:rPr>
          <w:sz w:val="24"/>
          <w:szCs w:val="24"/>
        </w:rPr>
      </w:pPr>
      <w:r w:rsidRPr="0044029D">
        <w:rPr>
          <w:sz w:val="24"/>
          <w:szCs w:val="24"/>
        </w:rPr>
        <w:t xml:space="preserve">Presumably, Plaintiff is relying upon the assignment attached to the notice of filing served on November 11, 2208.  That assignment is dated November 10, 2008, several months after when this suit was filed.  </w:t>
      </w:r>
      <w:r w:rsidR="00A14F5C">
        <w:rPr>
          <w:sz w:val="24"/>
          <w:szCs w:val="24"/>
        </w:rPr>
        <w:t>Hence, the</w:t>
      </w:r>
      <w:r>
        <w:rPr>
          <w:sz w:val="24"/>
          <w:szCs w:val="24"/>
        </w:rPr>
        <w:t xml:space="preserve"> assignment on its face is ineffective because </w:t>
      </w:r>
      <w:r w:rsidR="00A14F5C">
        <w:rPr>
          <w:sz w:val="24"/>
          <w:szCs w:val="24"/>
        </w:rPr>
        <w:t>it post dates the filing of the complaint.  W</w:t>
      </w:r>
      <w:r w:rsidR="00AB0071" w:rsidRPr="0044029D">
        <w:rPr>
          <w:sz w:val="24"/>
          <w:szCs w:val="24"/>
        </w:rPr>
        <w:t xml:space="preserve">here a plaintiff does not own a mortgage or have any interest in the mortgage at the time of filing foreclosure action, the case must be dismissed for failing to comply with statutory requirements of standing.  </w:t>
      </w:r>
      <w:r w:rsidR="00AB0071" w:rsidRPr="0044029D">
        <w:rPr>
          <w:i/>
          <w:sz w:val="24"/>
          <w:szCs w:val="24"/>
        </w:rPr>
        <w:t>See</w:t>
      </w:r>
      <w:r w:rsidR="00AB0071" w:rsidRPr="0044029D">
        <w:rPr>
          <w:sz w:val="24"/>
          <w:szCs w:val="24"/>
        </w:rPr>
        <w:t xml:space="preserve"> </w:t>
      </w:r>
      <w:r w:rsidR="00AB0071" w:rsidRPr="0044029D">
        <w:rPr>
          <w:i/>
          <w:sz w:val="24"/>
          <w:szCs w:val="24"/>
        </w:rPr>
        <w:t>Davenport v. HSBC Bank</w:t>
      </w:r>
      <w:r w:rsidR="00AB0071" w:rsidRPr="0044029D">
        <w:rPr>
          <w:sz w:val="24"/>
          <w:szCs w:val="24"/>
        </w:rPr>
        <w:t>, 275 Mich.App. 344, 347-348, 739 N.W.2d 383, 385 (Mich.App.,2007)</w:t>
      </w:r>
      <w:r w:rsidR="007E12FD">
        <w:rPr>
          <w:sz w:val="24"/>
          <w:szCs w:val="24"/>
        </w:rPr>
        <w:t xml:space="preserve">; </w:t>
      </w:r>
      <w:r w:rsidR="00AB0071" w:rsidRPr="0044029D">
        <w:rPr>
          <w:i/>
          <w:sz w:val="24"/>
          <w:szCs w:val="24"/>
        </w:rPr>
        <w:t>Fleet Nat. Bank v. Nazareth</w:t>
      </w:r>
      <w:r w:rsidR="00AB0071" w:rsidRPr="0044029D">
        <w:rPr>
          <w:sz w:val="24"/>
          <w:szCs w:val="24"/>
        </w:rPr>
        <w:t>, 75 Conn.App. 791, 794-795, 818 A.2d 69, 71 (Conn.</w:t>
      </w:r>
      <w:r w:rsidR="00680EEF">
        <w:rPr>
          <w:sz w:val="24"/>
          <w:szCs w:val="24"/>
        </w:rPr>
        <w:t xml:space="preserve"> </w:t>
      </w:r>
      <w:r w:rsidR="007E12FD">
        <w:rPr>
          <w:sz w:val="24"/>
          <w:szCs w:val="24"/>
        </w:rPr>
        <w:t>App.</w:t>
      </w:r>
      <w:r w:rsidR="00680EEF">
        <w:rPr>
          <w:sz w:val="24"/>
          <w:szCs w:val="24"/>
        </w:rPr>
        <w:t xml:space="preserve"> </w:t>
      </w:r>
      <w:r w:rsidR="00AB0071" w:rsidRPr="0044029D">
        <w:rPr>
          <w:sz w:val="24"/>
          <w:szCs w:val="24"/>
        </w:rPr>
        <w:t>2003</w:t>
      </w:r>
      <w:r w:rsidR="00C412EB">
        <w:rPr>
          <w:sz w:val="24"/>
          <w:szCs w:val="24"/>
        </w:rPr>
        <w:t xml:space="preserve">). </w:t>
      </w:r>
    </w:p>
    <w:p w:rsidR="00C412EB" w:rsidRPr="00C412EB" w:rsidRDefault="00C412EB" w:rsidP="00680EEF">
      <w:pPr>
        <w:pStyle w:val="FootnoteText"/>
        <w:spacing w:line="480" w:lineRule="auto"/>
        <w:ind w:firstLine="360"/>
        <w:jc w:val="both"/>
        <w:rPr>
          <w:sz w:val="24"/>
          <w:szCs w:val="24"/>
        </w:rPr>
      </w:pPr>
      <w:r w:rsidRPr="00C412EB">
        <w:rPr>
          <w:rFonts w:eastAsia="Arial"/>
          <w:sz w:val="24"/>
          <w:szCs w:val="24"/>
        </w:rPr>
        <w:t xml:space="preserve">Furthermore, the assignment is a nullity regardless of the date because </w:t>
      </w:r>
      <w:r w:rsidRPr="00C412EB">
        <w:rPr>
          <w:sz w:val="24"/>
          <w:szCs w:val="24"/>
        </w:rPr>
        <w:t xml:space="preserve">Mortgage Electronic Registration Systems, Inc. (“MERS”) was not granted the authority to assign the mortgage.  </w:t>
      </w:r>
      <w:r w:rsidR="00680EEF">
        <w:rPr>
          <w:sz w:val="24"/>
          <w:szCs w:val="24"/>
        </w:rPr>
        <w:t>G</w:t>
      </w:r>
      <w:r w:rsidRPr="00C412EB">
        <w:rPr>
          <w:sz w:val="24"/>
          <w:szCs w:val="24"/>
        </w:rPr>
        <w:t>regory Clark’s affidavit, which has not been refuted, states:</w:t>
      </w:r>
    </w:p>
    <w:p w:rsidR="00C412EB" w:rsidRPr="00C412EB" w:rsidRDefault="00C412EB" w:rsidP="00C412EB">
      <w:pPr>
        <w:pStyle w:val="p8"/>
        <w:ind w:left="720" w:right="720"/>
        <w:rPr>
          <w:i/>
          <w:iCs/>
        </w:rPr>
      </w:pPr>
      <w:r w:rsidRPr="00C412EB">
        <w:t>5.</w:t>
      </w:r>
      <w:r w:rsidRPr="00C412EB">
        <w:tab/>
        <w:t xml:space="preserve">That said mortgage explicitly states in paragraph (C) on page 1 of the instrument (in bold print) that </w:t>
      </w:r>
      <w:r w:rsidRPr="00C412EB">
        <w:rPr>
          <w:i/>
          <w:iCs/>
        </w:rPr>
        <w:t>“MERS is the mortgagee under this security agreement”.</w:t>
      </w:r>
    </w:p>
    <w:p w:rsidR="00C412EB" w:rsidRPr="00C412EB" w:rsidRDefault="00C412EB" w:rsidP="00C412EB">
      <w:pPr>
        <w:tabs>
          <w:tab w:val="left" w:pos="759"/>
          <w:tab w:val="left" w:pos="1048"/>
        </w:tabs>
        <w:ind w:left="720" w:right="720"/>
        <w:jc w:val="both"/>
        <w:rPr>
          <w:i/>
          <w:iCs/>
          <w:sz w:val="24"/>
          <w:szCs w:val="24"/>
        </w:rPr>
      </w:pPr>
    </w:p>
    <w:p w:rsidR="00C412EB" w:rsidRPr="00C412EB" w:rsidRDefault="00C412EB" w:rsidP="00C412EB">
      <w:pPr>
        <w:pStyle w:val="p8"/>
        <w:ind w:left="720" w:right="720"/>
        <w:rPr>
          <w:i/>
          <w:iCs/>
        </w:rPr>
      </w:pPr>
      <w:r w:rsidRPr="00C412EB">
        <w:t>6.</w:t>
      </w:r>
      <w:r w:rsidRPr="00C412EB">
        <w:tab/>
        <w:t xml:space="preserve">The grant language which operates as the conveyance of the specific real estate lien interest to the mortgage appears on page 3, and reads as follows: </w:t>
      </w:r>
      <w:r w:rsidRPr="00C412EB">
        <w:rPr>
          <w:i/>
          <w:iCs/>
        </w:rPr>
        <w:t>“Borrower does here mortgage, grant and convey to MERS...</w:t>
      </w:r>
    </w:p>
    <w:p w:rsidR="00C412EB" w:rsidRPr="00C412EB" w:rsidRDefault="00C412EB" w:rsidP="00C412EB">
      <w:pPr>
        <w:tabs>
          <w:tab w:val="left" w:pos="759"/>
          <w:tab w:val="left" w:pos="1048"/>
        </w:tabs>
        <w:ind w:left="720" w:right="720"/>
        <w:jc w:val="both"/>
        <w:rPr>
          <w:i/>
          <w:iCs/>
          <w:sz w:val="24"/>
          <w:szCs w:val="24"/>
        </w:rPr>
      </w:pPr>
    </w:p>
    <w:p w:rsidR="00C412EB" w:rsidRPr="00C412EB" w:rsidRDefault="00C412EB" w:rsidP="00C412EB">
      <w:pPr>
        <w:pStyle w:val="p8"/>
        <w:ind w:left="720" w:right="720"/>
      </w:pPr>
      <w:r w:rsidRPr="00C412EB">
        <w:t>7.</w:t>
      </w:r>
      <w:r w:rsidRPr="00C412EB">
        <w:tab/>
        <w:t>According to said grant language MERS is the holder of said mortgage.</w:t>
      </w:r>
    </w:p>
    <w:p w:rsidR="00C412EB" w:rsidRPr="00C412EB" w:rsidRDefault="00C412EB" w:rsidP="00C412EB">
      <w:pPr>
        <w:tabs>
          <w:tab w:val="left" w:pos="759"/>
          <w:tab w:val="left" w:pos="1048"/>
        </w:tabs>
        <w:ind w:left="720" w:right="720"/>
        <w:jc w:val="both"/>
        <w:rPr>
          <w:sz w:val="24"/>
          <w:szCs w:val="24"/>
        </w:rPr>
      </w:pPr>
    </w:p>
    <w:p w:rsidR="00C412EB" w:rsidRPr="00C412EB" w:rsidRDefault="00C412EB" w:rsidP="00C412EB">
      <w:pPr>
        <w:pStyle w:val="p8"/>
        <w:ind w:left="720" w:right="720"/>
        <w:rPr>
          <w:i/>
          <w:iCs/>
        </w:rPr>
      </w:pPr>
      <w:r w:rsidRPr="00C412EB">
        <w:t>8.</w:t>
      </w:r>
      <w:r w:rsidRPr="00C412EB">
        <w:tab/>
        <w:t xml:space="preserve">That the mortgage, however, limits or restricts the mortgage conveyance to MERS by identifying said holder’s interest under the mortgage with the additional language: </w:t>
      </w:r>
      <w:r w:rsidRPr="00C412EB">
        <w:rPr>
          <w:i/>
          <w:iCs/>
        </w:rPr>
        <w:t>“Solely as nominee for Lender...</w:t>
      </w:r>
    </w:p>
    <w:p w:rsidR="00C412EB" w:rsidRPr="00C412EB" w:rsidRDefault="00C412EB" w:rsidP="00C412EB">
      <w:pPr>
        <w:tabs>
          <w:tab w:val="left" w:pos="759"/>
          <w:tab w:val="left" w:pos="1048"/>
        </w:tabs>
        <w:ind w:left="720" w:right="720"/>
        <w:jc w:val="both"/>
        <w:rPr>
          <w:i/>
          <w:iCs/>
          <w:sz w:val="24"/>
          <w:szCs w:val="24"/>
        </w:rPr>
      </w:pPr>
    </w:p>
    <w:p w:rsidR="00C412EB" w:rsidRPr="00C412EB" w:rsidRDefault="00C412EB" w:rsidP="00C412EB">
      <w:pPr>
        <w:pStyle w:val="p8"/>
        <w:ind w:left="720" w:right="720"/>
      </w:pPr>
      <w:r w:rsidRPr="00C412EB">
        <w:t>9.</w:t>
      </w:r>
      <w:r w:rsidRPr="00C412EB">
        <w:tab/>
        <w:t xml:space="preserve">Said mortgage further limits or restricts the holder’s grant by use of a </w:t>
      </w:r>
      <w:proofErr w:type="spellStart"/>
      <w:r w:rsidRPr="00C412EB">
        <w:t>redendum</w:t>
      </w:r>
      <w:proofErr w:type="spellEnd"/>
      <w:r w:rsidRPr="00C412EB">
        <w:t xml:space="preserve"> clause that </w:t>
      </w:r>
      <w:r w:rsidRPr="00C412EB">
        <w:rPr>
          <w:u w:val="single"/>
        </w:rPr>
        <w:t>does not</w:t>
      </w:r>
      <w:r w:rsidRPr="00C412EB">
        <w:t xml:space="preserve"> grant MERS the power or authority to transfer or sell the mortgage, nor the power to assign or convey its interest or duties as “nominee.”</w:t>
      </w:r>
    </w:p>
    <w:p w:rsidR="00C412EB" w:rsidRPr="00C412EB" w:rsidRDefault="00C412EB" w:rsidP="00C412EB">
      <w:pPr>
        <w:tabs>
          <w:tab w:val="left" w:pos="759"/>
          <w:tab w:val="left" w:pos="1048"/>
        </w:tabs>
        <w:ind w:left="720" w:right="720"/>
        <w:jc w:val="both"/>
        <w:rPr>
          <w:sz w:val="24"/>
          <w:szCs w:val="24"/>
        </w:rPr>
      </w:pPr>
    </w:p>
    <w:p w:rsidR="00C412EB" w:rsidRPr="00C412EB" w:rsidRDefault="00C412EB" w:rsidP="00C412EB">
      <w:pPr>
        <w:pStyle w:val="p8"/>
        <w:ind w:left="720" w:right="720"/>
      </w:pPr>
      <w:r w:rsidRPr="00C412EB">
        <w:t>10.</w:t>
      </w:r>
      <w:r w:rsidRPr="00C412EB">
        <w:tab/>
        <w:t xml:space="preserve">The mortgage does not otherwise define the term “nominee” nor does it contain, by incorporation, any other written extrinsic document expanding </w:t>
      </w:r>
      <w:r w:rsidRPr="00C412EB">
        <w:lastRenderedPageBreak/>
        <w:t xml:space="preserve">the power or authority of MERS beyond that restrictively granted in the mortgage. Furthermore, the grant language contained in the </w:t>
      </w:r>
      <w:proofErr w:type="spellStart"/>
      <w:r w:rsidRPr="00C412EB">
        <w:rPr>
          <w:i/>
          <w:iCs/>
        </w:rPr>
        <w:t>redendum</w:t>
      </w:r>
      <w:proofErr w:type="spellEnd"/>
      <w:r w:rsidRPr="00C412EB">
        <w:rPr>
          <w:i/>
          <w:iCs/>
        </w:rPr>
        <w:t xml:space="preserve">, </w:t>
      </w:r>
      <w:r w:rsidRPr="00C412EB">
        <w:t>utilizes conditional language that is vague and ambiguous rendering the grant indeterminate.</w:t>
      </w:r>
    </w:p>
    <w:p w:rsidR="00C412EB" w:rsidRDefault="00C412EB" w:rsidP="00C412EB">
      <w:pPr>
        <w:pStyle w:val="FootnoteText"/>
      </w:pPr>
    </w:p>
    <w:p w:rsidR="00342B77" w:rsidRDefault="00C612E0" w:rsidP="00342B77">
      <w:pPr>
        <w:spacing w:line="480" w:lineRule="auto"/>
        <w:ind w:firstLine="360"/>
        <w:jc w:val="both"/>
        <w:rPr>
          <w:sz w:val="24"/>
          <w:szCs w:val="24"/>
        </w:rPr>
      </w:pPr>
      <w:r w:rsidRPr="0044029D">
        <w:rPr>
          <w:sz w:val="24"/>
          <w:szCs w:val="24"/>
        </w:rPr>
        <w:t xml:space="preserve">The original mortgage </w:t>
      </w:r>
      <w:r w:rsidR="00C412EB">
        <w:rPr>
          <w:sz w:val="24"/>
          <w:szCs w:val="24"/>
        </w:rPr>
        <w:t>s</w:t>
      </w:r>
      <w:r w:rsidRPr="0044029D">
        <w:rPr>
          <w:sz w:val="24"/>
          <w:szCs w:val="24"/>
        </w:rPr>
        <w:t>tates that MERS is the nominee of the Lender and is the mortgagee.  As the nominee, MERS does not have the power or authority to assign the mortgage or the promissory note.</w:t>
      </w:r>
    </w:p>
    <w:p w:rsidR="00C612E0" w:rsidRPr="0044029D" w:rsidRDefault="00C612E0" w:rsidP="00342B77">
      <w:pPr>
        <w:ind w:left="720" w:right="720" w:firstLine="360"/>
        <w:jc w:val="both"/>
        <w:rPr>
          <w:sz w:val="24"/>
          <w:szCs w:val="24"/>
        </w:rPr>
      </w:pPr>
      <w:r w:rsidRPr="0044029D">
        <w:rPr>
          <w:sz w:val="24"/>
          <w:szCs w:val="24"/>
        </w:rPr>
        <w:t xml:space="preserve">"The practical effect of splitting the deed of trust from the promissory note is to make it impossible for the holder of the note to foreclose, unless the holder of the deed of trust is the agent of the holder of the note. [Citation omitted.] Without the agency relationship, the person holding only the note lacks the power to foreclose in the event of default. The person holding only the deed of trust will never experience default because only the holder of the note is entitled to payment of the underlying obligation. [Citation omitted.] The mortgage loan becomes ineffectual when the note holder did not also hold the deed of trust." </w:t>
      </w:r>
      <w:r w:rsidRPr="0044029D">
        <w:rPr>
          <w:i/>
          <w:iCs/>
          <w:sz w:val="24"/>
          <w:szCs w:val="24"/>
        </w:rPr>
        <w:t>Bellistri v. Ocwen Loan Servicing, LLC</w:t>
      </w:r>
      <w:r w:rsidRPr="0044029D">
        <w:rPr>
          <w:sz w:val="24"/>
          <w:szCs w:val="24"/>
        </w:rPr>
        <w:t xml:space="preserve">, 284 S.W.3d 619, 623 (Mo. App. 2009). </w:t>
      </w:r>
    </w:p>
    <w:p w:rsidR="00C612E0" w:rsidRPr="0044029D" w:rsidRDefault="00C612E0" w:rsidP="00342B77">
      <w:pPr>
        <w:spacing w:before="100" w:beforeAutospacing="1" w:after="100" w:afterAutospacing="1"/>
        <w:ind w:left="720" w:right="720" w:firstLine="360"/>
        <w:jc w:val="both"/>
        <w:rPr>
          <w:sz w:val="24"/>
          <w:szCs w:val="24"/>
        </w:rPr>
      </w:pPr>
      <w:r w:rsidRPr="0044029D">
        <w:rPr>
          <w:sz w:val="24"/>
          <w:szCs w:val="24"/>
        </w:rPr>
        <w:t xml:space="preserve">The Missouri court found that, because MERS was not the original holder of the promissory note and because the record contained no evidence that the original holder of the note authorized MERS to transfer the note, the language of the assignment purporting to transfer the promissory note was ineffective. "MERS never held the promissory note, thus its assignment of the deed of trust to Ocwen separate from the note had no force." 284 S.W.3d at 624; see also </w:t>
      </w:r>
      <w:r w:rsidRPr="0044029D">
        <w:rPr>
          <w:i/>
          <w:iCs/>
          <w:sz w:val="24"/>
          <w:szCs w:val="24"/>
        </w:rPr>
        <w:t>In re Wilhelm</w:t>
      </w:r>
      <w:r w:rsidRPr="0044029D">
        <w:rPr>
          <w:sz w:val="24"/>
          <w:szCs w:val="24"/>
        </w:rPr>
        <w:t xml:space="preserve">, 407 B.R. 392 (Bankr. D. Idaho 2009) (standard mortgage note language does not expressly or implicitly authorize MERS to transfer the note); </w:t>
      </w:r>
      <w:r w:rsidRPr="0044029D">
        <w:rPr>
          <w:i/>
          <w:iCs/>
          <w:sz w:val="24"/>
          <w:szCs w:val="24"/>
        </w:rPr>
        <w:t>In re Vargas</w:t>
      </w:r>
      <w:r w:rsidRPr="0044029D">
        <w:rPr>
          <w:sz w:val="24"/>
          <w:szCs w:val="24"/>
        </w:rPr>
        <w:t xml:space="preserve">, 396 B.R. 511, 517 (Bankr. C.D. Cal. 2008) ("[I]f FHM has transferred the note, MERS is no longer an authorized agent of the holder unless it has a separate agency contract with the new undisclosed principal. MERS presents no evidence as to who owns the note, or of any authorization to act on behalf of the present owner."); </w:t>
      </w:r>
      <w:r w:rsidRPr="0044029D">
        <w:rPr>
          <w:i/>
          <w:iCs/>
          <w:sz w:val="24"/>
          <w:szCs w:val="24"/>
        </w:rPr>
        <w:t>Saxon Mortgage Services, Inc. v. Hillery</w:t>
      </w:r>
      <w:r w:rsidRPr="0044029D">
        <w:rPr>
          <w:sz w:val="24"/>
          <w:szCs w:val="24"/>
        </w:rPr>
        <w:t xml:space="preserve">, 2008 WL 5170180 (N.D. Cal. 2008) (unpublished opinion) ("[F]or there to be a valid assignment, there must be more than just assignment of the deed alone; the note must also be assigned. . . . MERS purportedly assigned both the deed of trust and the promissory note. . . . However, there is no evidence of record that establishes that MERS either held the promissory note or was given the authority . . . to assign the note."). </w:t>
      </w:r>
    </w:p>
    <w:p w:rsidR="000E23BC" w:rsidRDefault="00C612E0" w:rsidP="00C612E0">
      <w:pPr>
        <w:autoSpaceDE w:val="0"/>
        <w:spacing w:line="480" w:lineRule="auto"/>
        <w:jc w:val="both"/>
        <w:rPr>
          <w:sz w:val="24"/>
          <w:szCs w:val="24"/>
        </w:rPr>
      </w:pPr>
      <w:r w:rsidRPr="0044029D">
        <w:rPr>
          <w:i/>
          <w:sz w:val="24"/>
          <w:szCs w:val="24"/>
        </w:rPr>
        <w:t>Kesler v. Landmark National Bank</w:t>
      </w:r>
      <w:r w:rsidRPr="0044029D">
        <w:rPr>
          <w:sz w:val="24"/>
          <w:szCs w:val="24"/>
        </w:rPr>
        <w:t xml:space="preserve">, 216 P.3d 158 (Kan. 2009).  </w:t>
      </w:r>
    </w:p>
    <w:p w:rsidR="00C612E0" w:rsidRDefault="00C612E0" w:rsidP="000E23BC">
      <w:pPr>
        <w:autoSpaceDE w:val="0"/>
        <w:spacing w:line="480" w:lineRule="auto"/>
        <w:ind w:firstLine="720"/>
        <w:jc w:val="both"/>
        <w:rPr>
          <w:sz w:val="24"/>
          <w:szCs w:val="24"/>
        </w:rPr>
      </w:pPr>
      <w:r w:rsidRPr="0044029D">
        <w:rPr>
          <w:sz w:val="24"/>
          <w:szCs w:val="24"/>
        </w:rPr>
        <w:t xml:space="preserve">Hence, the language in the assignment </w:t>
      </w:r>
      <w:r w:rsidR="000E23BC">
        <w:rPr>
          <w:sz w:val="24"/>
          <w:szCs w:val="24"/>
        </w:rPr>
        <w:t>filed in this action</w:t>
      </w:r>
      <w:r w:rsidRPr="0044029D">
        <w:rPr>
          <w:sz w:val="24"/>
          <w:szCs w:val="24"/>
        </w:rPr>
        <w:t xml:space="preserve"> which purportedly transfers the debt is a nullity and has no effect.  </w:t>
      </w:r>
      <w:r w:rsidRPr="0044029D">
        <w:rPr>
          <w:i/>
          <w:sz w:val="24"/>
          <w:szCs w:val="24"/>
        </w:rPr>
        <w:t>Sobel v. Mutual Development, Inc</w:t>
      </w:r>
      <w:r w:rsidRPr="0044029D">
        <w:rPr>
          <w:sz w:val="24"/>
          <w:szCs w:val="24"/>
        </w:rPr>
        <w:t xml:space="preserve">., 313 So. 2d 77 (Fla. 1st DCA 1975).  “An assignment of the mortgage without an assignment of the debt creates no right </w:t>
      </w:r>
      <w:r w:rsidRPr="0044029D">
        <w:rPr>
          <w:sz w:val="24"/>
          <w:szCs w:val="24"/>
        </w:rPr>
        <w:lastRenderedPageBreak/>
        <w:t xml:space="preserve">in the assignee.”  </w:t>
      </w:r>
      <w:r w:rsidRPr="0044029D">
        <w:rPr>
          <w:i/>
          <w:sz w:val="24"/>
          <w:szCs w:val="24"/>
        </w:rPr>
        <w:t>Vance v. Fields</w:t>
      </w:r>
      <w:r w:rsidRPr="0044029D">
        <w:rPr>
          <w:sz w:val="24"/>
          <w:szCs w:val="24"/>
        </w:rPr>
        <w:t xml:space="preserve">, 172 So. 2d 613, 614 (Fla. 1st DCA 1965).  </w:t>
      </w:r>
    </w:p>
    <w:p w:rsidR="00BE5791" w:rsidRPr="0044029D" w:rsidRDefault="00BE5791" w:rsidP="000E23BC">
      <w:pPr>
        <w:autoSpaceDE w:val="0"/>
        <w:spacing w:line="480" w:lineRule="auto"/>
        <w:ind w:firstLine="720"/>
        <w:jc w:val="both"/>
        <w:rPr>
          <w:sz w:val="24"/>
          <w:szCs w:val="24"/>
        </w:rPr>
      </w:pPr>
      <w:r>
        <w:rPr>
          <w:sz w:val="24"/>
          <w:szCs w:val="24"/>
        </w:rPr>
        <w:t xml:space="preserve">Recently, the Second District Court of Appeal, in a case very analogous to this one, reversed a summary judgment of foreclosure that was granted simply because the Plaintiff produced an assignment from MERS.  </w:t>
      </w:r>
      <w:r w:rsidRPr="00BE5791">
        <w:rPr>
          <w:i/>
          <w:sz w:val="24"/>
          <w:szCs w:val="24"/>
        </w:rPr>
        <w:t>See Verizzo v. Bank of New York</w:t>
      </w:r>
      <w:r>
        <w:rPr>
          <w:sz w:val="24"/>
          <w:szCs w:val="24"/>
        </w:rPr>
        <w:t>, 35 Fla. L. Weekly D494 (Fla. 2d DCA March 3, 2010).</w:t>
      </w:r>
    </w:p>
    <w:p w:rsidR="007A7842" w:rsidRPr="0044029D" w:rsidRDefault="007A7842" w:rsidP="00387547">
      <w:pPr>
        <w:autoSpaceDE w:val="0"/>
        <w:spacing w:line="480" w:lineRule="auto"/>
        <w:ind w:firstLine="720"/>
        <w:jc w:val="both"/>
        <w:rPr>
          <w:sz w:val="24"/>
          <w:szCs w:val="24"/>
        </w:rPr>
      </w:pPr>
      <w:r w:rsidRPr="0044029D">
        <w:rPr>
          <w:sz w:val="24"/>
          <w:szCs w:val="24"/>
        </w:rPr>
        <w:t>Plai</w:t>
      </w:r>
      <w:r>
        <w:rPr>
          <w:sz w:val="24"/>
          <w:szCs w:val="24"/>
        </w:rPr>
        <w:t>n</w:t>
      </w:r>
      <w:r w:rsidRPr="0044029D">
        <w:rPr>
          <w:sz w:val="24"/>
          <w:szCs w:val="24"/>
        </w:rPr>
        <w:t xml:space="preserve">tiff is probably going to argue the principle of equitable assignment.  However, Plaintiff is precluded from relying on this </w:t>
      </w:r>
      <w:r w:rsidR="00387547">
        <w:rPr>
          <w:sz w:val="24"/>
          <w:szCs w:val="24"/>
        </w:rPr>
        <w:t>theory</w:t>
      </w:r>
      <w:r w:rsidRPr="0044029D">
        <w:rPr>
          <w:sz w:val="24"/>
          <w:szCs w:val="24"/>
        </w:rPr>
        <w:t xml:space="preserve"> as it </w:t>
      </w:r>
      <w:r w:rsidR="00680EEF">
        <w:rPr>
          <w:sz w:val="24"/>
          <w:szCs w:val="24"/>
        </w:rPr>
        <w:t>did</w:t>
      </w:r>
      <w:r w:rsidRPr="0044029D">
        <w:rPr>
          <w:sz w:val="24"/>
          <w:szCs w:val="24"/>
        </w:rPr>
        <w:t xml:space="preserve"> not plead equitable assignment.   Moreover, if Plaintiff does wish to refile and plead equitable assignment, then it would not be entitled to seek a money judgment for payments for taxes, insurance and other items that are contained in the written mortgage, but not the promissory note.  </w:t>
      </w:r>
      <w:r w:rsidR="00387547">
        <w:rPr>
          <w:sz w:val="24"/>
          <w:szCs w:val="24"/>
        </w:rPr>
        <w:t>In addition Ms. Ponce would have other possible affirmative defenses applicable to a claim for foreclosure on an equitable lien which are not avaiable to a foreclosure of a written recorded mortgage.</w:t>
      </w:r>
    </w:p>
    <w:p w:rsidR="008E648B" w:rsidRDefault="008E648B" w:rsidP="006D61D5">
      <w:pPr>
        <w:spacing w:line="480" w:lineRule="auto"/>
        <w:ind w:firstLine="720"/>
        <w:jc w:val="both"/>
        <w:rPr>
          <w:sz w:val="24"/>
          <w:szCs w:val="24"/>
        </w:rPr>
      </w:pPr>
      <w:r w:rsidRPr="006702A6">
        <w:rPr>
          <w:sz w:val="24"/>
          <w:szCs w:val="24"/>
        </w:rPr>
        <w:t xml:space="preserve">I HEREBY CERTIFY that a true and correct copy of the foregoing is being furnished by U.S. mail on </w:t>
      </w:r>
      <w:r w:rsidR="00F834A9">
        <w:rPr>
          <w:sz w:val="24"/>
          <w:szCs w:val="24"/>
        </w:rPr>
        <w:t xml:space="preserve">March </w:t>
      </w:r>
      <w:r w:rsidR="00387547">
        <w:rPr>
          <w:sz w:val="24"/>
          <w:szCs w:val="24"/>
        </w:rPr>
        <w:t>20</w:t>
      </w:r>
      <w:r w:rsidR="00F834A9">
        <w:rPr>
          <w:sz w:val="24"/>
          <w:szCs w:val="24"/>
        </w:rPr>
        <w:t>, 2010</w:t>
      </w:r>
      <w:r w:rsidR="009E46F6">
        <w:rPr>
          <w:sz w:val="24"/>
          <w:szCs w:val="24"/>
        </w:rPr>
        <w:t xml:space="preserve">, to </w:t>
      </w:r>
      <w:r w:rsidR="00851EEA">
        <w:rPr>
          <w:sz w:val="24"/>
          <w:szCs w:val="24"/>
        </w:rPr>
        <w:t>Kerry</w:t>
      </w:r>
      <w:r w:rsidR="00074975">
        <w:rPr>
          <w:sz w:val="24"/>
          <w:szCs w:val="24"/>
        </w:rPr>
        <w:t xml:space="preserve"> Green</w:t>
      </w:r>
      <w:r w:rsidR="009E46F6">
        <w:rPr>
          <w:sz w:val="24"/>
          <w:szCs w:val="24"/>
        </w:rPr>
        <w:t xml:space="preserve">, 1800 N.W. </w:t>
      </w:r>
      <w:r w:rsidR="009E46F6" w:rsidRPr="009E46F6">
        <w:rPr>
          <w:sz w:val="24"/>
          <w:szCs w:val="24"/>
        </w:rPr>
        <w:t>49th</w:t>
      </w:r>
      <w:r w:rsidR="009E46F6">
        <w:rPr>
          <w:sz w:val="24"/>
          <w:szCs w:val="24"/>
        </w:rPr>
        <w:t xml:space="preserve"> St., Suite 120, Fort Laud</w:t>
      </w:r>
      <w:r w:rsidR="00387547">
        <w:rPr>
          <w:sz w:val="24"/>
          <w:szCs w:val="24"/>
        </w:rPr>
        <w:t xml:space="preserve">erdale, FL  33309 and by email on March 20, 2010 to </w:t>
      </w:r>
      <w:hyperlink r:id="rId8" w:history="1">
        <w:r w:rsidR="00387547" w:rsidRPr="007B3888">
          <w:rPr>
            <w:rStyle w:val="Hyperlink"/>
            <w:sz w:val="24"/>
            <w:szCs w:val="24"/>
          </w:rPr>
          <w:t>monaizadyar@marshallwatson.com</w:t>
        </w:r>
      </w:hyperlink>
      <w:r w:rsidR="00387547">
        <w:rPr>
          <w:sz w:val="24"/>
          <w:szCs w:val="24"/>
        </w:rPr>
        <w:t>.</w:t>
      </w:r>
    </w:p>
    <w:p w:rsidR="00387547" w:rsidRPr="00232A78" w:rsidRDefault="00387547" w:rsidP="006D61D5">
      <w:pPr>
        <w:spacing w:line="480" w:lineRule="auto"/>
        <w:ind w:firstLine="720"/>
        <w:jc w:val="both"/>
        <w:rPr>
          <w:sz w:val="24"/>
          <w:szCs w:val="24"/>
        </w:rPr>
      </w:pPr>
    </w:p>
    <w:p w:rsidR="008E648B" w:rsidRPr="00232A78" w:rsidRDefault="008E648B" w:rsidP="008E648B">
      <w:pPr>
        <w:ind w:firstLine="5040"/>
        <w:jc w:val="both"/>
        <w:rPr>
          <w:sz w:val="24"/>
          <w:szCs w:val="24"/>
        </w:rPr>
      </w:pPr>
      <w:r w:rsidRPr="00232A78">
        <w:rPr>
          <w:sz w:val="24"/>
          <w:szCs w:val="24"/>
          <w:u w:val="single"/>
        </w:rPr>
        <w:tab/>
      </w:r>
      <w:r w:rsidRPr="00232A78">
        <w:rPr>
          <w:sz w:val="24"/>
          <w:szCs w:val="24"/>
          <w:u w:val="single"/>
        </w:rPr>
        <w:tab/>
      </w:r>
      <w:r w:rsidRPr="00232A78">
        <w:rPr>
          <w:sz w:val="24"/>
          <w:szCs w:val="24"/>
          <w:u w:val="single"/>
        </w:rPr>
        <w:tab/>
      </w:r>
      <w:r w:rsidRPr="00232A78">
        <w:rPr>
          <w:sz w:val="24"/>
          <w:szCs w:val="24"/>
          <w:u w:val="single"/>
        </w:rPr>
        <w:tab/>
      </w:r>
      <w:r w:rsidRPr="00232A78">
        <w:rPr>
          <w:sz w:val="24"/>
          <w:szCs w:val="24"/>
          <w:u w:val="single"/>
        </w:rPr>
        <w:tab/>
        <w:t xml:space="preserve"> </w:t>
      </w:r>
    </w:p>
    <w:p w:rsidR="008E648B" w:rsidRPr="00232A78" w:rsidRDefault="008E648B" w:rsidP="008E648B">
      <w:pPr>
        <w:ind w:firstLine="5040"/>
        <w:jc w:val="both"/>
        <w:rPr>
          <w:sz w:val="24"/>
          <w:szCs w:val="24"/>
        </w:rPr>
      </w:pPr>
      <w:r w:rsidRPr="00232A78">
        <w:rPr>
          <w:sz w:val="24"/>
          <w:szCs w:val="24"/>
        </w:rPr>
        <w:t>Randall O. Reder</w:t>
      </w:r>
    </w:p>
    <w:p w:rsidR="008E648B" w:rsidRPr="00232A78" w:rsidRDefault="008E648B" w:rsidP="008E648B">
      <w:pPr>
        <w:ind w:firstLine="5040"/>
        <w:jc w:val="both"/>
        <w:rPr>
          <w:sz w:val="24"/>
          <w:szCs w:val="24"/>
        </w:rPr>
      </w:pPr>
      <w:smartTag w:uri="urn:schemas-microsoft-com:office:smarttags" w:element="State">
        <w:smartTag w:uri="urn:schemas-microsoft-com:office:smarttags" w:element="place">
          <w:r w:rsidRPr="00232A78">
            <w:rPr>
              <w:sz w:val="24"/>
              <w:szCs w:val="24"/>
            </w:rPr>
            <w:t>Florida</w:t>
          </w:r>
        </w:smartTag>
      </w:smartTag>
      <w:r w:rsidRPr="00232A78">
        <w:rPr>
          <w:sz w:val="24"/>
          <w:szCs w:val="24"/>
        </w:rPr>
        <w:t xml:space="preserve"> Bar No.  264210</w:t>
      </w:r>
    </w:p>
    <w:p w:rsidR="008E648B" w:rsidRPr="002A0117" w:rsidRDefault="008E648B" w:rsidP="008E648B">
      <w:pPr>
        <w:ind w:firstLine="5040"/>
        <w:jc w:val="both"/>
        <w:rPr>
          <w:sz w:val="24"/>
          <w:szCs w:val="24"/>
        </w:rPr>
      </w:pPr>
      <w:r w:rsidRPr="00232A78">
        <w:rPr>
          <w:sz w:val="24"/>
          <w:szCs w:val="24"/>
        </w:rPr>
        <w:t xml:space="preserve">1319 </w:t>
      </w:r>
      <w:smartTag w:uri="urn:schemas-microsoft-com:office:smarttags" w:element="Street">
        <w:smartTag w:uri="urn:schemas-microsoft-com:office:smarttags" w:element="address">
          <w:r w:rsidRPr="002A0117">
            <w:rPr>
              <w:sz w:val="24"/>
              <w:szCs w:val="24"/>
            </w:rPr>
            <w:t>W. Fletcher Ave.</w:t>
          </w:r>
        </w:smartTag>
      </w:smartTag>
    </w:p>
    <w:p w:rsidR="008E648B" w:rsidRPr="002A0117" w:rsidRDefault="008E648B" w:rsidP="008E648B">
      <w:pPr>
        <w:ind w:firstLine="5040"/>
        <w:jc w:val="both"/>
        <w:rPr>
          <w:sz w:val="24"/>
          <w:szCs w:val="24"/>
        </w:rPr>
      </w:pPr>
      <w:smartTag w:uri="urn:schemas-microsoft-com:office:smarttags" w:element="place">
        <w:smartTag w:uri="urn:schemas-microsoft-com:office:smarttags" w:element="City">
          <w:r w:rsidRPr="002A0117">
            <w:rPr>
              <w:sz w:val="24"/>
              <w:szCs w:val="24"/>
            </w:rPr>
            <w:t>Tampa</w:t>
          </w:r>
        </w:smartTag>
        <w:r w:rsidRPr="002A0117">
          <w:rPr>
            <w:sz w:val="24"/>
            <w:szCs w:val="24"/>
          </w:rPr>
          <w:t xml:space="preserve">, </w:t>
        </w:r>
        <w:smartTag w:uri="urn:schemas-microsoft-com:office:smarttags" w:element="State">
          <w:r w:rsidRPr="002A0117">
            <w:rPr>
              <w:sz w:val="24"/>
              <w:szCs w:val="24"/>
            </w:rPr>
            <w:t>FL</w:t>
          </w:r>
        </w:smartTag>
        <w:r w:rsidRPr="002A0117">
          <w:rPr>
            <w:sz w:val="24"/>
            <w:szCs w:val="24"/>
          </w:rPr>
          <w:t xml:space="preserve">  </w:t>
        </w:r>
        <w:smartTag w:uri="urn:schemas-microsoft-com:office:smarttags" w:element="PostalCode">
          <w:r w:rsidRPr="002A0117">
            <w:rPr>
              <w:sz w:val="24"/>
              <w:szCs w:val="24"/>
            </w:rPr>
            <w:t>33612-3310</w:t>
          </w:r>
        </w:smartTag>
      </w:smartTag>
    </w:p>
    <w:p w:rsidR="008E648B" w:rsidRPr="002A0117" w:rsidRDefault="008E648B" w:rsidP="008E648B">
      <w:pPr>
        <w:ind w:firstLine="5040"/>
        <w:jc w:val="both"/>
        <w:rPr>
          <w:sz w:val="24"/>
          <w:szCs w:val="24"/>
        </w:rPr>
      </w:pPr>
      <w:r w:rsidRPr="002A0117">
        <w:rPr>
          <w:sz w:val="24"/>
          <w:szCs w:val="24"/>
        </w:rPr>
        <w:t>phone 813-960-1952</w:t>
      </w:r>
    </w:p>
    <w:p w:rsidR="008E648B" w:rsidRPr="002A0117" w:rsidRDefault="008E648B" w:rsidP="008E648B">
      <w:pPr>
        <w:ind w:firstLine="5040"/>
        <w:jc w:val="both"/>
        <w:rPr>
          <w:sz w:val="24"/>
          <w:szCs w:val="24"/>
        </w:rPr>
      </w:pPr>
      <w:r w:rsidRPr="002A0117">
        <w:rPr>
          <w:sz w:val="24"/>
          <w:szCs w:val="24"/>
        </w:rPr>
        <w:t>fax  813-265-0940</w:t>
      </w:r>
    </w:p>
    <w:p w:rsidR="004F02D8" w:rsidRDefault="004F02D8"/>
    <w:sectPr w:rsidR="004F02D8" w:rsidSect="004F02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554" w:rsidRDefault="00E91554" w:rsidP="000E23BC">
      <w:r>
        <w:separator/>
      </w:r>
    </w:p>
  </w:endnote>
  <w:endnote w:type="continuationSeparator" w:id="0">
    <w:p w:rsidR="00E91554" w:rsidRDefault="00E91554" w:rsidP="000E23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554" w:rsidRDefault="00E91554" w:rsidP="000E23BC">
      <w:r>
        <w:separator/>
      </w:r>
    </w:p>
  </w:footnote>
  <w:footnote w:type="continuationSeparator" w:id="0">
    <w:p w:rsidR="00E91554" w:rsidRDefault="00E91554" w:rsidP="000E23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67D67"/>
    <w:multiLevelType w:val="hybridMultilevel"/>
    <w:tmpl w:val="44666D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EE92421"/>
    <w:multiLevelType w:val="hybridMultilevel"/>
    <w:tmpl w:val="F166892E"/>
    <w:lvl w:ilvl="0" w:tplc="0409000F">
      <w:start w:val="1"/>
      <w:numFmt w:val="decimal"/>
      <w:lvlText w:val="%1."/>
      <w:lvlJc w:val="left"/>
      <w:pPr>
        <w:ind w:left="162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05079D4"/>
    <w:multiLevelType w:val="hybridMultilevel"/>
    <w:tmpl w:val="00E8FB1A"/>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25D233E8"/>
    <w:multiLevelType w:val="hybridMultilevel"/>
    <w:tmpl w:val="37A66E9E"/>
    <w:lvl w:ilvl="0" w:tplc="8AAC6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58C3BFE"/>
    <w:multiLevelType w:val="hybridMultilevel"/>
    <w:tmpl w:val="609A7AC6"/>
    <w:lvl w:ilvl="0" w:tplc="0409000F">
      <w:start w:val="1"/>
      <w:numFmt w:val="decimal"/>
      <w:lvlText w:val="%1."/>
      <w:lvlJc w:val="left"/>
      <w:pPr>
        <w:ind w:left="5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C674918"/>
    <w:multiLevelType w:val="hybridMultilevel"/>
    <w:tmpl w:val="EE2EE270"/>
    <w:lvl w:ilvl="0" w:tplc="38E05EBC">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footnotePr>
    <w:footnote w:id="-1"/>
    <w:footnote w:id="0"/>
  </w:footnotePr>
  <w:endnotePr>
    <w:endnote w:id="-1"/>
    <w:endnote w:id="0"/>
  </w:endnotePr>
  <w:compat/>
  <w:rsids>
    <w:rsidRoot w:val="008E648B"/>
    <w:rsid w:val="0001287E"/>
    <w:rsid w:val="000663C2"/>
    <w:rsid w:val="00074975"/>
    <w:rsid w:val="000913D5"/>
    <w:rsid w:val="0009730B"/>
    <w:rsid w:val="000E23BC"/>
    <w:rsid w:val="000E66C5"/>
    <w:rsid w:val="0010430C"/>
    <w:rsid w:val="00104751"/>
    <w:rsid w:val="001119A7"/>
    <w:rsid w:val="00125B51"/>
    <w:rsid w:val="00144D73"/>
    <w:rsid w:val="00153328"/>
    <w:rsid w:val="00160C05"/>
    <w:rsid w:val="0016353E"/>
    <w:rsid w:val="0016410F"/>
    <w:rsid w:val="00190CC6"/>
    <w:rsid w:val="001C356A"/>
    <w:rsid w:val="001E0FDC"/>
    <w:rsid w:val="00242F68"/>
    <w:rsid w:val="002D190A"/>
    <w:rsid w:val="00342B77"/>
    <w:rsid w:val="00345BDD"/>
    <w:rsid w:val="00360753"/>
    <w:rsid w:val="00387547"/>
    <w:rsid w:val="003F4D34"/>
    <w:rsid w:val="00423772"/>
    <w:rsid w:val="00426EEF"/>
    <w:rsid w:val="0044029D"/>
    <w:rsid w:val="004D0D77"/>
    <w:rsid w:val="004F02D8"/>
    <w:rsid w:val="00505A50"/>
    <w:rsid w:val="00533F88"/>
    <w:rsid w:val="006702A6"/>
    <w:rsid w:val="00674CBD"/>
    <w:rsid w:val="00680EEF"/>
    <w:rsid w:val="006A1722"/>
    <w:rsid w:val="006B024F"/>
    <w:rsid w:val="006D61D5"/>
    <w:rsid w:val="006F49CB"/>
    <w:rsid w:val="0074684B"/>
    <w:rsid w:val="007A7842"/>
    <w:rsid w:val="007E12FD"/>
    <w:rsid w:val="00801A56"/>
    <w:rsid w:val="00851EEA"/>
    <w:rsid w:val="008E648B"/>
    <w:rsid w:val="00980589"/>
    <w:rsid w:val="009D128A"/>
    <w:rsid w:val="009E46F6"/>
    <w:rsid w:val="009F3126"/>
    <w:rsid w:val="00A14F5C"/>
    <w:rsid w:val="00A3401F"/>
    <w:rsid w:val="00A93660"/>
    <w:rsid w:val="00AA0BD5"/>
    <w:rsid w:val="00AB0071"/>
    <w:rsid w:val="00B768FA"/>
    <w:rsid w:val="00B93ED8"/>
    <w:rsid w:val="00BB2B0A"/>
    <w:rsid w:val="00BB55D6"/>
    <w:rsid w:val="00BC45A9"/>
    <w:rsid w:val="00BE5791"/>
    <w:rsid w:val="00BF6E7D"/>
    <w:rsid w:val="00C160FF"/>
    <w:rsid w:val="00C412EB"/>
    <w:rsid w:val="00C426BB"/>
    <w:rsid w:val="00C612E0"/>
    <w:rsid w:val="00C63860"/>
    <w:rsid w:val="00C841C2"/>
    <w:rsid w:val="00CC4B66"/>
    <w:rsid w:val="00CE6F2F"/>
    <w:rsid w:val="00D16C97"/>
    <w:rsid w:val="00D864C7"/>
    <w:rsid w:val="00DE62A5"/>
    <w:rsid w:val="00DF1058"/>
    <w:rsid w:val="00E01ECC"/>
    <w:rsid w:val="00E3028C"/>
    <w:rsid w:val="00E91554"/>
    <w:rsid w:val="00F45643"/>
    <w:rsid w:val="00F834A9"/>
    <w:rsid w:val="00FB52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ostalCod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48B"/>
    <w:pPr>
      <w:widowControl w:val="0"/>
    </w:pPr>
    <w:rPr>
      <w:rFonts w:ascii="Times New Roman" w:eastAsia="Times New Roman" w:hAnsi="Times New Roman"/>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8">
    <w:name w:val="p8"/>
    <w:basedOn w:val="Normal"/>
    <w:uiPriority w:val="99"/>
    <w:rsid w:val="00160C05"/>
    <w:pPr>
      <w:tabs>
        <w:tab w:val="left" w:pos="759"/>
        <w:tab w:val="left" w:pos="1048"/>
      </w:tabs>
      <w:autoSpaceDE w:val="0"/>
      <w:autoSpaceDN w:val="0"/>
      <w:adjustRightInd w:val="0"/>
      <w:ind w:firstLine="759"/>
      <w:jc w:val="both"/>
    </w:pPr>
    <w:rPr>
      <w:noProof w:val="0"/>
      <w:color w:val="auto"/>
      <w:sz w:val="24"/>
      <w:szCs w:val="24"/>
    </w:rPr>
  </w:style>
  <w:style w:type="paragraph" w:customStyle="1" w:styleId="p2">
    <w:name w:val="p2"/>
    <w:basedOn w:val="Normal"/>
    <w:uiPriority w:val="99"/>
    <w:rsid w:val="00160C05"/>
    <w:pPr>
      <w:tabs>
        <w:tab w:val="left" w:pos="204"/>
      </w:tabs>
      <w:autoSpaceDE w:val="0"/>
      <w:autoSpaceDN w:val="0"/>
      <w:adjustRightInd w:val="0"/>
    </w:pPr>
    <w:rPr>
      <w:noProof w:val="0"/>
      <w:color w:val="auto"/>
      <w:sz w:val="24"/>
      <w:szCs w:val="24"/>
    </w:rPr>
  </w:style>
  <w:style w:type="paragraph" w:customStyle="1" w:styleId="c7">
    <w:name w:val="c7"/>
    <w:basedOn w:val="Normal"/>
    <w:uiPriority w:val="99"/>
    <w:rsid w:val="00160C05"/>
    <w:pPr>
      <w:autoSpaceDE w:val="0"/>
      <w:autoSpaceDN w:val="0"/>
      <w:adjustRightInd w:val="0"/>
      <w:jc w:val="center"/>
    </w:pPr>
    <w:rPr>
      <w:noProof w:val="0"/>
      <w:color w:val="auto"/>
      <w:sz w:val="24"/>
      <w:szCs w:val="24"/>
    </w:rPr>
  </w:style>
  <w:style w:type="paragraph" w:customStyle="1" w:styleId="p10">
    <w:name w:val="p10"/>
    <w:basedOn w:val="Normal"/>
    <w:uiPriority w:val="99"/>
    <w:rsid w:val="00160C05"/>
    <w:pPr>
      <w:tabs>
        <w:tab w:val="left" w:pos="759"/>
        <w:tab w:val="left" w:pos="1139"/>
      </w:tabs>
      <w:autoSpaceDE w:val="0"/>
      <w:autoSpaceDN w:val="0"/>
      <w:adjustRightInd w:val="0"/>
      <w:ind w:firstLine="759"/>
    </w:pPr>
    <w:rPr>
      <w:noProof w:val="0"/>
      <w:color w:val="auto"/>
      <w:sz w:val="24"/>
      <w:szCs w:val="24"/>
    </w:rPr>
  </w:style>
  <w:style w:type="paragraph" w:styleId="FootnoteText">
    <w:name w:val="footnote text"/>
    <w:basedOn w:val="Normal"/>
    <w:link w:val="FootnoteTextChar"/>
    <w:uiPriority w:val="99"/>
    <w:semiHidden/>
    <w:unhideWhenUsed/>
    <w:rsid w:val="000E23BC"/>
  </w:style>
  <w:style w:type="character" w:customStyle="1" w:styleId="FootnoteTextChar">
    <w:name w:val="Footnote Text Char"/>
    <w:basedOn w:val="DefaultParagraphFont"/>
    <w:link w:val="FootnoteText"/>
    <w:uiPriority w:val="99"/>
    <w:semiHidden/>
    <w:rsid w:val="000E23BC"/>
    <w:rPr>
      <w:rFonts w:ascii="Times New Roman" w:eastAsia="Times New Roman" w:hAnsi="Times New Roman"/>
      <w:noProof/>
      <w:color w:val="000000"/>
    </w:rPr>
  </w:style>
  <w:style w:type="character" w:styleId="FootnoteReference">
    <w:name w:val="footnote reference"/>
    <w:basedOn w:val="DefaultParagraphFont"/>
    <w:uiPriority w:val="99"/>
    <w:semiHidden/>
    <w:unhideWhenUsed/>
    <w:rsid w:val="000E23BC"/>
    <w:rPr>
      <w:vertAlign w:val="superscript"/>
    </w:rPr>
  </w:style>
  <w:style w:type="character" w:styleId="Hyperlink">
    <w:name w:val="Hyperlink"/>
    <w:basedOn w:val="DefaultParagraphFont"/>
    <w:uiPriority w:val="99"/>
    <w:unhideWhenUsed/>
    <w:rsid w:val="0038754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aizadyar@marshallwats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5F71A-1053-4614-9908-46C9A9C14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2248</Words>
  <Characters>12819</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15037</CharactersWithSpaces>
  <SharedDoc>false</SharedDoc>
  <HLinks>
    <vt:vector size="6" baseType="variant">
      <vt:variant>
        <vt:i4>5505147</vt:i4>
      </vt:variant>
      <vt:variant>
        <vt:i4>0</vt:i4>
      </vt:variant>
      <vt:variant>
        <vt:i4>0</vt:i4>
      </vt:variant>
      <vt:variant>
        <vt:i4>5</vt:i4>
      </vt:variant>
      <vt:variant>
        <vt:lpwstr>mailto:monaizadyar@marshallwatson.com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Reder</dc:creator>
  <cp:keywords/>
  <dc:description/>
  <cp:lastModifiedBy>Weidner</cp:lastModifiedBy>
  <cp:revision>2</cp:revision>
  <cp:lastPrinted>2010-03-22T13:34:00Z</cp:lastPrinted>
  <dcterms:created xsi:type="dcterms:W3CDTF">2010-03-22T20:00:00Z</dcterms:created>
  <dcterms:modified xsi:type="dcterms:W3CDTF">2010-03-22T20:00:00Z</dcterms:modified>
</cp:coreProperties>
</file>