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1B7" w:rsidRPr="004F21B7" w:rsidRDefault="004F21B7" w:rsidP="004F21B7">
      <w:pPr>
        <w:widowControl/>
        <w:rPr>
          <w:rFonts w:ascii="Courier New" w:hAnsi="Courier New" w:cs="Courier New"/>
          <w:sz w:val="22"/>
          <w:szCs w:val="22"/>
        </w:rPr>
      </w:pPr>
      <w:bookmarkStart w:id="0" w:name="_GoBack"/>
      <w:r w:rsidRPr="004F21B7">
        <w:rPr>
          <w:rFonts w:ascii="Courier New" w:hAnsi="Courier New" w:cs="Courier New"/>
          <w:sz w:val="22"/>
          <w:szCs w:val="22"/>
        </w:rPr>
        <w:t xml:space="preserve">53. Challenge to the denial of a motion for recusal was waived on appeal because the procedures prescribed by </w:t>
      </w:r>
      <w:r w:rsidRPr="004F21B7">
        <w:rPr>
          <w:rFonts w:ascii="Courier New" w:hAnsi="Courier New" w:cs="Courier New"/>
          <w:i/>
          <w:iCs/>
          <w:sz w:val="22"/>
          <w:szCs w:val="22"/>
        </w:rPr>
        <w:t>Tex. R. Civ. P. 18a</w:t>
      </w:r>
      <w:r w:rsidRPr="004F21B7">
        <w:rPr>
          <w:rFonts w:ascii="Courier New" w:hAnsi="Courier New" w:cs="Courier New"/>
          <w:sz w:val="22"/>
          <w:szCs w:val="22"/>
        </w:rPr>
        <w:t xml:space="preserve"> were not followed; notice of expectancy of presentment was not given, the judge was not presented with the motion three days after filing, and the motion was not verified and did not state grounds with particularity. </w:t>
      </w:r>
      <w:r w:rsidRPr="004F21B7">
        <w:rPr>
          <w:rFonts w:ascii="Courier New" w:hAnsi="Courier New" w:cs="Courier New"/>
          <w:i/>
          <w:iCs/>
          <w:sz w:val="22"/>
          <w:szCs w:val="22"/>
        </w:rPr>
        <w:t xml:space="preserve">Johnson v. </w:t>
      </w:r>
      <w:proofErr w:type="spellStart"/>
      <w:r w:rsidRPr="004F21B7">
        <w:rPr>
          <w:rFonts w:ascii="Courier New" w:hAnsi="Courier New" w:cs="Courier New"/>
          <w:i/>
          <w:iCs/>
          <w:sz w:val="22"/>
          <w:szCs w:val="22"/>
        </w:rPr>
        <w:t>Amco</w:t>
      </w:r>
      <w:proofErr w:type="spellEnd"/>
      <w:r w:rsidRPr="004F21B7">
        <w:rPr>
          <w:rFonts w:ascii="Courier New" w:hAnsi="Courier New" w:cs="Courier New"/>
          <w:i/>
          <w:iCs/>
          <w:sz w:val="22"/>
          <w:szCs w:val="22"/>
        </w:rPr>
        <w:t xml:space="preserve"> Ins. Agency, 2005 Tex. App. LEXIS 4221 (Tex. App. Houston 14th Dist. June 2 2005).</w:t>
      </w:r>
    </w:p>
    <w:bookmarkEnd w:id="0"/>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 </w:t>
      </w: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71. Inmate's motion to recuse the judge did not deprive the court of j</w:t>
      </w:r>
      <w:r w:rsidRPr="004F21B7">
        <w:rPr>
          <w:rFonts w:ascii="Courier New" w:hAnsi="Courier New" w:cs="Courier New"/>
          <w:sz w:val="22"/>
          <w:szCs w:val="22"/>
        </w:rPr>
        <w:t>u</w:t>
      </w:r>
      <w:r w:rsidRPr="004F21B7">
        <w:rPr>
          <w:rFonts w:ascii="Courier New" w:hAnsi="Courier New" w:cs="Courier New"/>
          <w:sz w:val="22"/>
          <w:szCs w:val="22"/>
        </w:rPr>
        <w:t xml:space="preserve">risdiction over inmate's suit against the Texas Department of Criminal Justice, Institutional Division where the motion had no effect because the inmate failed to give notice of expectancy of presentment to the judge three days after filing as prescribed by </w:t>
      </w:r>
      <w:r w:rsidRPr="004F21B7">
        <w:rPr>
          <w:rFonts w:ascii="Courier New" w:hAnsi="Courier New" w:cs="Courier New"/>
          <w:i/>
          <w:iCs/>
          <w:sz w:val="22"/>
          <w:szCs w:val="22"/>
        </w:rPr>
        <w:t>Tex. R. Civ. P. 18a</w:t>
      </w:r>
      <w:r w:rsidRPr="004F21B7">
        <w:rPr>
          <w:rFonts w:ascii="Courier New" w:hAnsi="Courier New" w:cs="Courier New"/>
          <w:sz w:val="22"/>
          <w:szCs w:val="22"/>
        </w:rPr>
        <w:t xml:space="preserve">. </w:t>
      </w:r>
      <w:proofErr w:type="gramStart"/>
      <w:r w:rsidRPr="004F21B7">
        <w:rPr>
          <w:rFonts w:ascii="Courier New" w:hAnsi="Courier New" w:cs="Courier New"/>
          <w:i/>
          <w:iCs/>
          <w:sz w:val="22"/>
          <w:szCs w:val="22"/>
        </w:rPr>
        <w:t>Carson v. Serrano, 96 S.W.3d 697, 2003 Tex. App. LEXIS 774 (Tex. App. Texarkana 2003).</w:t>
      </w:r>
      <w:proofErr w:type="gramEnd"/>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 </w:t>
      </w: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72. </w:t>
      </w:r>
      <w:r w:rsidRPr="004F21B7">
        <w:rPr>
          <w:rFonts w:ascii="Courier New" w:hAnsi="Courier New" w:cs="Courier New"/>
          <w:i/>
          <w:iCs/>
          <w:sz w:val="22"/>
          <w:szCs w:val="22"/>
        </w:rPr>
        <w:t>Tex. R. Civ. P. 18a</w:t>
      </w:r>
      <w:r w:rsidRPr="004F21B7">
        <w:rPr>
          <w:rFonts w:ascii="Courier New" w:hAnsi="Courier New" w:cs="Courier New"/>
          <w:sz w:val="22"/>
          <w:szCs w:val="22"/>
        </w:rPr>
        <w:t xml:space="preserve"> requires a trial judge who does not agree to recusal to refer the matter to the presiding judge of the administrative judicial district, who in turn may hear the motion or designate another judge to do so. When the presiding judge assigns the matter to another judge, he or she does so under authority as presiding judge of the administrative judicial district. </w:t>
      </w:r>
      <w:proofErr w:type="gramStart"/>
      <w:r w:rsidRPr="004F21B7">
        <w:rPr>
          <w:rFonts w:ascii="Courier New" w:hAnsi="Courier New" w:cs="Courier New"/>
          <w:i/>
          <w:iCs/>
          <w:sz w:val="22"/>
          <w:szCs w:val="22"/>
        </w:rPr>
        <w:t xml:space="preserve">In re </w:t>
      </w:r>
      <w:proofErr w:type="spellStart"/>
      <w:r w:rsidRPr="004F21B7">
        <w:rPr>
          <w:rFonts w:ascii="Courier New" w:hAnsi="Courier New" w:cs="Courier New"/>
          <w:i/>
          <w:iCs/>
          <w:sz w:val="22"/>
          <w:szCs w:val="22"/>
        </w:rPr>
        <w:t>Perritt</w:t>
      </w:r>
      <w:proofErr w:type="spellEnd"/>
      <w:r w:rsidRPr="004F21B7">
        <w:rPr>
          <w:rFonts w:ascii="Courier New" w:hAnsi="Courier New" w:cs="Courier New"/>
          <w:i/>
          <w:iCs/>
          <w:sz w:val="22"/>
          <w:szCs w:val="22"/>
        </w:rPr>
        <w:t>, 992 S.W.2d 444, 1999 Tex. LEXIS 42, 42 Tex. Sup.</w:t>
      </w:r>
      <w:proofErr w:type="gramEnd"/>
      <w:r w:rsidRPr="004F21B7">
        <w:rPr>
          <w:rFonts w:ascii="Courier New" w:hAnsi="Courier New" w:cs="Courier New"/>
          <w:i/>
          <w:iCs/>
          <w:sz w:val="22"/>
          <w:szCs w:val="22"/>
        </w:rPr>
        <w:t xml:space="preserve"> </w:t>
      </w:r>
      <w:proofErr w:type="gramStart"/>
      <w:r w:rsidRPr="004F21B7">
        <w:rPr>
          <w:rFonts w:ascii="Courier New" w:hAnsi="Courier New" w:cs="Courier New"/>
          <w:i/>
          <w:iCs/>
          <w:sz w:val="22"/>
          <w:szCs w:val="22"/>
        </w:rPr>
        <w:t>Ct. J. 574 (Tex. 1999).</w:t>
      </w:r>
      <w:proofErr w:type="gramEnd"/>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92. Because a litigant filed a timely objection to the administrative judge under </w:t>
      </w:r>
      <w:r w:rsidRPr="004F21B7">
        <w:rPr>
          <w:rFonts w:ascii="Courier New" w:hAnsi="Courier New" w:cs="Courier New"/>
          <w:i/>
          <w:iCs/>
          <w:sz w:val="22"/>
          <w:szCs w:val="22"/>
        </w:rPr>
        <w:t>Tex. Gov't Code Ann. § 74.053</w:t>
      </w:r>
      <w:r w:rsidRPr="004F21B7">
        <w:rPr>
          <w:rFonts w:ascii="Courier New" w:hAnsi="Courier New" w:cs="Courier New"/>
          <w:sz w:val="22"/>
          <w:szCs w:val="22"/>
        </w:rPr>
        <w:t xml:space="preserve">, disqualification of that judge was mandatory, and the administrative judge should have assigned another judge to hear the recusal motion, for purposes of § 74.053, and </w:t>
      </w:r>
      <w:r w:rsidRPr="004F21B7">
        <w:rPr>
          <w:rFonts w:ascii="Courier New" w:hAnsi="Courier New" w:cs="Courier New"/>
          <w:i/>
          <w:iCs/>
          <w:sz w:val="22"/>
          <w:szCs w:val="22"/>
        </w:rPr>
        <w:t xml:space="preserve">Tex. R. Civ. P. </w:t>
      </w:r>
      <w:proofErr w:type="gramStart"/>
      <w:r w:rsidRPr="004F21B7">
        <w:rPr>
          <w:rFonts w:ascii="Courier New" w:hAnsi="Courier New" w:cs="Courier New"/>
          <w:i/>
          <w:iCs/>
          <w:sz w:val="22"/>
          <w:szCs w:val="22"/>
        </w:rPr>
        <w:t>18a(</w:t>
      </w:r>
      <w:proofErr w:type="gramEnd"/>
      <w:r w:rsidRPr="004F21B7">
        <w:rPr>
          <w:rFonts w:ascii="Courier New" w:hAnsi="Courier New" w:cs="Courier New"/>
          <w:i/>
          <w:iCs/>
          <w:sz w:val="22"/>
          <w:szCs w:val="22"/>
        </w:rPr>
        <w:t>d)</w:t>
      </w:r>
      <w:r w:rsidRPr="004F21B7">
        <w:rPr>
          <w:rFonts w:ascii="Courier New" w:hAnsi="Courier New" w:cs="Courier New"/>
          <w:sz w:val="22"/>
          <w:szCs w:val="22"/>
        </w:rPr>
        <w:t xml:space="preserve">. </w:t>
      </w:r>
      <w:r w:rsidRPr="004F21B7">
        <w:rPr>
          <w:rFonts w:ascii="Courier New" w:hAnsi="Courier New" w:cs="Courier New"/>
          <w:i/>
          <w:iCs/>
          <w:sz w:val="22"/>
          <w:szCs w:val="22"/>
        </w:rPr>
        <w:t>Anderson v. City of Port Arthur, 2010 Tex. App. LEXIS 7706 (Tex. App. Houston 14th Dist. Sept. 21 2010).</w:t>
      </w: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 </w:t>
      </w: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i/>
          <w:iCs/>
          <w:sz w:val="22"/>
          <w:szCs w:val="22"/>
        </w:rPr>
      </w:pPr>
      <w:r w:rsidRPr="004F21B7">
        <w:rPr>
          <w:rFonts w:ascii="Courier New" w:hAnsi="Courier New" w:cs="Courier New"/>
          <w:sz w:val="22"/>
          <w:szCs w:val="22"/>
        </w:rPr>
        <w:t xml:space="preserve">96. Inmate's failure to procure a record of the hearing on the inmate's motion to recuse a trial judge under </w:t>
      </w:r>
      <w:r w:rsidRPr="004F21B7">
        <w:rPr>
          <w:rFonts w:ascii="Courier New" w:hAnsi="Courier New" w:cs="Courier New"/>
          <w:i/>
          <w:iCs/>
          <w:sz w:val="22"/>
          <w:szCs w:val="22"/>
        </w:rPr>
        <w:t xml:space="preserve">Tex. R. Civ. P. </w:t>
      </w:r>
      <w:proofErr w:type="gramStart"/>
      <w:r w:rsidRPr="004F21B7">
        <w:rPr>
          <w:rFonts w:ascii="Courier New" w:hAnsi="Courier New" w:cs="Courier New"/>
          <w:i/>
          <w:iCs/>
          <w:sz w:val="22"/>
          <w:szCs w:val="22"/>
        </w:rPr>
        <w:t>18a(</w:t>
      </w:r>
      <w:proofErr w:type="gramEnd"/>
      <w:r w:rsidRPr="004F21B7">
        <w:rPr>
          <w:rFonts w:ascii="Courier New" w:hAnsi="Courier New" w:cs="Courier New"/>
          <w:i/>
          <w:iCs/>
          <w:sz w:val="22"/>
          <w:szCs w:val="22"/>
        </w:rPr>
        <w:t>f)</w:t>
      </w:r>
      <w:r w:rsidRPr="004F21B7">
        <w:rPr>
          <w:rFonts w:ascii="Courier New" w:hAnsi="Courier New" w:cs="Courier New"/>
          <w:sz w:val="22"/>
          <w:szCs w:val="22"/>
        </w:rPr>
        <w:t xml:space="preserve"> rendered the denial of that motion unreviewable on appeal. </w:t>
      </w:r>
      <w:proofErr w:type="spellStart"/>
      <w:r w:rsidRPr="004F21B7">
        <w:rPr>
          <w:rFonts w:ascii="Courier New" w:hAnsi="Courier New" w:cs="Courier New"/>
          <w:i/>
          <w:iCs/>
          <w:sz w:val="22"/>
          <w:szCs w:val="22"/>
        </w:rPr>
        <w:t>Poledore</w:t>
      </w:r>
      <w:proofErr w:type="spellEnd"/>
      <w:r w:rsidRPr="004F21B7">
        <w:rPr>
          <w:rFonts w:ascii="Courier New" w:hAnsi="Courier New" w:cs="Courier New"/>
          <w:i/>
          <w:iCs/>
          <w:sz w:val="22"/>
          <w:szCs w:val="22"/>
        </w:rPr>
        <w:t xml:space="preserve"> v. Fraley, 2010 Tex. App. LEXIS 6609 (Tex. App. Houston 1st Dist. Aug. 12 2010).</w:t>
      </w: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99. Appellant's motions to recuse were not verified as required by </w:t>
      </w:r>
      <w:r w:rsidRPr="004F21B7">
        <w:rPr>
          <w:rFonts w:ascii="Courier New" w:hAnsi="Courier New" w:cs="Courier New"/>
          <w:i/>
          <w:iCs/>
          <w:sz w:val="22"/>
          <w:szCs w:val="22"/>
        </w:rPr>
        <w:t xml:space="preserve">Tex. R. Civ. P. </w:t>
      </w:r>
      <w:proofErr w:type="gramStart"/>
      <w:r w:rsidRPr="004F21B7">
        <w:rPr>
          <w:rFonts w:ascii="Courier New" w:hAnsi="Courier New" w:cs="Courier New"/>
          <w:i/>
          <w:iCs/>
          <w:sz w:val="22"/>
          <w:szCs w:val="22"/>
        </w:rPr>
        <w:t>18a(</w:t>
      </w:r>
      <w:proofErr w:type="gramEnd"/>
      <w:r w:rsidRPr="004F21B7">
        <w:rPr>
          <w:rFonts w:ascii="Courier New" w:hAnsi="Courier New" w:cs="Courier New"/>
          <w:i/>
          <w:iCs/>
          <w:sz w:val="22"/>
          <w:szCs w:val="22"/>
        </w:rPr>
        <w:t>a)</w:t>
      </w:r>
      <w:r w:rsidRPr="004F21B7">
        <w:rPr>
          <w:rFonts w:ascii="Courier New" w:hAnsi="Courier New" w:cs="Courier New"/>
          <w:sz w:val="22"/>
          <w:szCs w:val="22"/>
        </w:rPr>
        <w:t xml:space="preserve">, but because he was an inmate when his motions were filed, he was entitled to use an unsworn declaration under </w:t>
      </w:r>
      <w:r w:rsidRPr="004F21B7">
        <w:rPr>
          <w:rFonts w:ascii="Courier New" w:hAnsi="Courier New" w:cs="Courier New"/>
          <w:i/>
          <w:iCs/>
          <w:sz w:val="22"/>
          <w:szCs w:val="22"/>
        </w:rPr>
        <w:t xml:space="preserve">Tex. Civ. </w:t>
      </w:r>
      <w:proofErr w:type="spellStart"/>
      <w:r w:rsidRPr="004F21B7">
        <w:rPr>
          <w:rFonts w:ascii="Courier New" w:hAnsi="Courier New" w:cs="Courier New"/>
          <w:i/>
          <w:iCs/>
          <w:sz w:val="22"/>
          <w:szCs w:val="22"/>
        </w:rPr>
        <w:t>Prac</w:t>
      </w:r>
      <w:proofErr w:type="spellEnd"/>
      <w:r w:rsidRPr="004F21B7">
        <w:rPr>
          <w:rFonts w:ascii="Courier New" w:hAnsi="Courier New" w:cs="Courier New"/>
          <w:i/>
          <w:iCs/>
          <w:sz w:val="22"/>
          <w:szCs w:val="22"/>
        </w:rPr>
        <w:t>. &amp; Rem. Code Ann. § 132.001(a)</w:t>
      </w:r>
      <w:r w:rsidRPr="004F21B7">
        <w:rPr>
          <w:rFonts w:ascii="Courier New" w:hAnsi="Courier New" w:cs="Courier New"/>
          <w:sz w:val="22"/>
          <w:szCs w:val="22"/>
        </w:rPr>
        <w:t xml:space="preserve">; although the motions to recuse did include language stating, "I do swear that all contained herein is true and correct," they did not include the phrase "under penalty of perjury," and thus they were not verified as required by </w:t>
      </w:r>
      <w:r w:rsidRPr="004F21B7">
        <w:rPr>
          <w:rFonts w:ascii="Courier New" w:hAnsi="Courier New" w:cs="Courier New"/>
          <w:i/>
          <w:iCs/>
          <w:sz w:val="22"/>
          <w:szCs w:val="22"/>
        </w:rPr>
        <w:t>Tex. R. Civ. P. 18a(a)</w:t>
      </w:r>
      <w:r w:rsidRPr="004F21B7">
        <w:rPr>
          <w:rFonts w:ascii="Courier New" w:hAnsi="Courier New" w:cs="Courier New"/>
          <w:sz w:val="22"/>
          <w:szCs w:val="22"/>
        </w:rPr>
        <w:t xml:space="preserve">, even under the lower standard applicable to </w:t>
      </w:r>
      <w:r w:rsidRPr="004F21B7">
        <w:rPr>
          <w:rFonts w:ascii="Courier New" w:hAnsi="Courier New" w:cs="Courier New"/>
          <w:sz w:val="22"/>
          <w:szCs w:val="22"/>
        </w:rPr>
        <w:lastRenderedPageBreak/>
        <w:t xml:space="preserve">inmates. </w:t>
      </w:r>
      <w:r w:rsidRPr="004F21B7">
        <w:rPr>
          <w:rFonts w:ascii="Courier New" w:hAnsi="Courier New" w:cs="Courier New"/>
          <w:i/>
          <w:iCs/>
          <w:sz w:val="22"/>
          <w:szCs w:val="22"/>
        </w:rPr>
        <w:t>Bailey v. State, 2010 Tex. App. LEXIS 4584 (Tex. App. Austin June 18 2010).</w:t>
      </w: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sz w:val="22"/>
          <w:szCs w:val="22"/>
        </w:rPr>
      </w:pP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193. To the extent that due process rights are implicated and threatened by the prospect of a trial judge deciding the merits of a motion for new trial, a movant has the right to file a motion to recuse. Moreover, a movant has an absolute right to have the recusal motion determined by a different judge pursuant to </w:t>
      </w:r>
      <w:r w:rsidRPr="004F21B7">
        <w:rPr>
          <w:rFonts w:ascii="Courier New" w:hAnsi="Courier New" w:cs="Courier New"/>
          <w:i/>
          <w:iCs/>
          <w:sz w:val="22"/>
          <w:szCs w:val="22"/>
        </w:rPr>
        <w:t xml:space="preserve">Tex. R. Civ. P. </w:t>
      </w:r>
      <w:proofErr w:type="gramStart"/>
      <w:r w:rsidRPr="004F21B7">
        <w:rPr>
          <w:rFonts w:ascii="Courier New" w:hAnsi="Courier New" w:cs="Courier New"/>
          <w:i/>
          <w:iCs/>
          <w:sz w:val="22"/>
          <w:szCs w:val="22"/>
        </w:rPr>
        <w:t>18a(</w:t>
      </w:r>
      <w:proofErr w:type="gramEnd"/>
      <w:r w:rsidRPr="004F21B7">
        <w:rPr>
          <w:rFonts w:ascii="Courier New" w:hAnsi="Courier New" w:cs="Courier New"/>
          <w:i/>
          <w:iCs/>
          <w:sz w:val="22"/>
          <w:szCs w:val="22"/>
        </w:rPr>
        <w:t>d)</w:t>
      </w:r>
      <w:r w:rsidRPr="004F21B7">
        <w:rPr>
          <w:rFonts w:ascii="Courier New" w:hAnsi="Courier New" w:cs="Courier New"/>
          <w:sz w:val="22"/>
          <w:szCs w:val="22"/>
        </w:rPr>
        <w:t xml:space="preserve">. </w:t>
      </w:r>
      <w:proofErr w:type="gramStart"/>
      <w:r w:rsidRPr="004F21B7">
        <w:rPr>
          <w:rFonts w:ascii="Courier New" w:hAnsi="Courier New" w:cs="Courier New"/>
          <w:i/>
          <w:iCs/>
          <w:sz w:val="22"/>
          <w:szCs w:val="22"/>
        </w:rPr>
        <w:t>George v. State, 20 S.W.3d 130, 2000 Tex. App. LEXIS 2108 (Tex. App. Houston 14th Dist. 2000).</w:t>
      </w:r>
      <w:proofErr w:type="gramEnd"/>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 </w:t>
      </w: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205. Where applicant filed a motion to recuse the judge presiding over his habeas proceeding because he was the same judge who presided over State's motion to adjudicate which alleged applicant made verbal threats against the judge, all of applicant's recusal documents were filed ten days or more before the hearing, applicant's documents were mailed to both the clerk and the State on the same day, applicant's certificate of service was sufficient evidence of service on the date indicated, and applicant's motion for recusal hearing complied with the notice provision. Because applicant complied with </w:t>
      </w:r>
      <w:r w:rsidRPr="004F21B7">
        <w:rPr>
          <w:rFonts w:ascii="Courier New" w:hAnsi="Courier New" w:cs="Courier New"/>
          <w:i/>
          <w:iCs/>
          <w:sz w:val="22"/>
          <w:szCs w:val="22"/>
        </w:rPr>
        <w:t>Tex. R. Civ. P. 18a</w:t>
      </w:r>
      <w:r w:rsidRPr="004F21B7">
        <w:rPr>
          <w:rFonts w:ascii="Courier New" w:hAnsi="Courier New" w:cs="Courier New"/>
          <w:sz w:val="22"/>
          <w:szCs w:val="22"/>
        </w:rPr>
        <w:t xml:space="preserve">, the trial judge had no option but to recuse </w:t>
      </w:r>
      <w:proofErr w:type="gramStart"/>
      <w:r w:rsidRPr="004F21B7">
        <w:rPr>
          <w:rFonts w:ascii="Courier New" w:hAnsi="Courier New" w:cs="Courier New"/>
          <w:sz w:val="22"/>
          <w:szCs w:val="22"/>
        </w:rPr>
        <w:t>himself</w:t>
      </w:r>
      <w:proofErr w:type="gramEnd"/>
      <w:r w:rsidRPr="004F21B7">
        <w:rPr>
          <w:rFonts w:ascii="Courier New" w:hAnsi="Courier New" w:cs="Courier New"/>
          <w:sz w:val="22"/>
          <w:szCs w:val="22"/>
        </w:rPr>
        <w:t xml:space="preserve"> or forward the case to the presiding judge of the administrative judicial district for a recusal hearing before another judge. </w:t>
      </w:r>
      <w:proofErr w:type="gramStart"/>
      <w:r w:rsidRPr="004F21B7">
        <w:rPr>
          <w:rFonts w:ascii="Courier New" w:hAnsi="Courier New" w:cs="Courier New"/>
          <w:i/>
          <w:iCs/>
          <w:sz w:val="22"/>
          <w:szCs w:val="22"/>
        </w:rPr>
        <w:t xml:space="preserve">Ex Parte </w:t>
      </w:r>
      <w:proofErr w:type="spellStart"/>
      <w:r w:rsidRPr="004F21B7">
        <w:rPr>
          <w:rFonts w:ascii="Courier New" w:hAnsi="Courier New" w:cs="Courier New"/>
          <w:i/>
          <w:iCs/>
          <w:sz w:val="22"/>
          <w:szCs w:val="22"/>
        </w:rPr>
        <w:t>Sinegar</w:t>
      </w:r>
      <w:proofErr w:type="spellEnd"/>
      <w:r w:rsidRPr="004F21B7">
        <w:rPr>
          <w:rFonts w:ascii="Courier New" w:hAnsi="Courier New" w:cs="Courier New"/>
          <w:i/>
          <w:iCs/>
          <w:sz w:val="22"/>
          <w:szCs w:val="22"/>
        </w:rPr>
        <w:t>, 324 S.W.3d 578, 2010 Tex. Crim. App. LEXIS 1357 (Tex. Crim. App. 2010).</w:t>
      </w:r>
      <w:proofErr w:type="gramEnd"/>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 </w:t>
      </w: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212. To the extent that due process rights are implicated and threatened by the prospect of a trial judge deciding the merits of a motion for new trial, a movant has the right to file a motion to recuse. Moreover, a movant has an absolute right to have the recusal motion determined by a different judge pursuant to </w:t>
      </w:r>
      <w:r w:rsidRPr="004F21B7">
        <w:rPr>
          <w:rFonts w:ascii="Courier New" w:hAnsi="Courier New" w:cs="Courier New"/>
          <w:i/>
          <w:iCs/>
          <w:sz w:val="22"/>
          <w:szCs w:val="22"/>
        </w:rPr>
        <w:t xml:space="preserve">Tex. R. Civ. P. </w:t>
      </w:r>
      <w:proofErr w:type="gramStart"/>
      <w:r w:rsidRPr="004F21B7">
        <w:rPr>
          <w:rFonts w:ascii="Courier New" w:hAnsi="Courier New" w:cs="Courier New"/>
          <w:i/>
          <w:iCs/>
          <w:sz w:val="22"/>
          <w:szCs w:val="22"/>
        </w:rPr>
        <w:t>18a(</w:t>
      </w:r>
      <w:proofErr w:type="gramEnd"/>
      <w:r w:rsidRPr="004F21B7">
        <w:rPr>
          <w:rFonts w:ascii="Courier New" w:hAnsi="Courier New" w:cs="Courier New"/>
          <w:i/>
          <w:iCs/>
          <w:sz w:val="22"/>
          <w:szCs w:val="22"/>
        </w:rPr>
        <w:t>d)</w:t>
      </w:r>
      <w:r w:rsidRPr="004F21B7">
        <w:rPr>
          <w:rFonts w:ascii="Courier New" w:hAnsi="Courier New" w:cs="Courier New"/>
          <w:sz w:val="22"/>
          <w:szCs w:val="22"/>
        </w:rPr>
        <w:t xml:space="preserve">. </w:t>
      </w:r>
      <w:proofErr w:type="gramStart"/>
      <w:r w:rsidRPr="004F21B7">
        <w:rPr>
          <w:rFonts w:ascii="Courier New" w:hAnsi="Courier New" w:cs="Courier New"/>
          <w:i/>
          <w:iCs/>
          <w:sz w:val="22"/>
          <w:szCs w:val="22"/>
        </w:rPr>
        <w:t>George v. State, 20 S.W.3d 130, 2000 Tex. App. LEXIS 2108 (Tex. App. Houston 14th Dist. 2000).</w:t>
      </w:r>
      <w:proofErr w:type="gramEnd"/>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 </w:t>
      </w: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213. It was not improper for a trial judge to preside over a hearing on a motion for new trial and to review the propriety of her own rulings, pronouncements, or conduct where defendant made no attempt to recuse the judge pursuant to </w:t>
      </w:r>
      <w:r w:rsidRPr="004F21B7">
        <w:rPr>
          <w:rFonts w:ascii="Courier New" w:hAnsi="Courier New" w:cs="Courier New"/>
          <w:i/>
          <w:iCs/>
          <w:sz w:val="22"/>
          <w:szCs w:val="22"/>
        </w:rPr>
        <w:t xml:space="preserve">Tex. R. Civ. P. </w:t>
      </w:r>
      <w:proofErr w:type="gramStart"/>
      <w:r w:rsidRPr="004F21B7">
        <w:rPr>
          <w:rFonts w:ascii="Courier New" w:hAnsi="Courier New" w:cs="Courier New"/>
          <w:i/>
          <w:iCs/>
          <w:sz w:val="22"/>
          <w:szCs w:val="22"/>
        </w:rPr>
        <w:t>18a(</w:t>
      </w:r>
      <w:proofErr w:type="gramEnd"/>
      <w:r w:rsidRPr="004F21B7">
        <w:rPr>
          <w:rFonts w:ascii="Courier New" w:hAnsi="Courier New" w:cs="Courier New"/>
          <w:i/>
          <w:iCs/>
          <w:sz w:val="22"/>
          <w:szCs w:val="22"/>
        </w:rPr>
        <w:t>d)</w:t>
      </w:r>
      <w:r w:rsidRPr="004F21B7">
        <w:rPr>
          <w:rFonts w:ascii="Courier New" w:hAnsi="Courier New" w:cs="Courier New"/>
          <w:sz w:val="22"/>
          <w:szCs w:val="22"/>
        </w:rPr>
        <w:t xml:space="preserve"> and did not object to her presiding over the hearing for any reason other than that she was presiding outside of her courtroom. </w:t>
      </w:r>
      <w:proofErr w:type="gramStart"/>
      <w:r w:rsidRPr="004F21B7">
        <w:rPr>
          <w:rFonts w:ascii="Courier New" w:hAnsi="Courier New" w:cs="Courier New"/>
          <w:i/>
          <w:iCs/>
          <w:sz w:val="22"/>
          <w:szCs w:val="22"/>
        </w:rPr>
        <w:t>George v. State, 20 S.W.3d 130, 2000 Tex. App. LEXIS 2108 (Tex. App. Houston 14th Dist. 2000).</w:t>
      </w:r>
      <w:proofErr w:type="gramEnd"/>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 </w:t>
      </w: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237. </w:t>
      </w:r>
      <w:r w:rsidRPr="004F21B7">
        <w:rPr>
          <w:rFonts w:ascii="Courier New" w:hAnsi="Courier New" w:cs="Courier New"/>
          <w:i/>
          <w:iCs/>
          <w:sz w:val="22"/>
          <w:szCs w:val="22"/>
        </w:rPr>
        <w:t>Tex. R. Civ. P. 18a</w:t>
      </w:r>
      <w:r w:rsidRPr="004F21B7">
        <w:rPr>
          <w:rFonts w:ascii="Courier New" w:hAnsi="Courier New" w:cs="Courier New"/>
          <w:sz w:val="22"/>
          <w:szCs w:val="22"/>
        </w:rPr>
        <w:t xml:space="preserve"> requires a trial judge who does not agree to recusal to refer the matter to the presiding judge of the administrative judicial district, who in turn may hear the motion or designate another judge to do so. When the presiding judge assigns the matter to another judge, he or she does so under authority as presiding judge of the administrative judicial district. </w:t>
      </w:r>
      <w:proofErr w:type="gramStart"/>
      <w:r w:rsidRPr="004F21B7">
        <w:rPr>
          <w:rFonts w:ascii="Courier New" w:hAnsi="Courier New" w:cs="Courier New"/>
          <w:i/>
          <w:iCs/>
          <w:sz w:val="22"/>
          <w:szCs w:val="22"/>
        </w:rPr>
        <w:t xml:space="preserve">In re </w:t>
      </w:r>
      <w:proofErr w:type="spellStart"/>
      <w:r w:rsidRPr="004F21B7">
        <w:rPr>
          <w:rFonts w:ascii="Courier New" w:hAnsi="Courier New" w:cs="Courier New"/>
          <w:i/>
          <w:iCs/>
          <w:sz w:val="22"/>
          <w:szCs w:val="22"/>
        </w:rPr>
        <w:t>Perritt</w:t>
      </w:r>
      <w:proofErr w:type="spellEnd"/>
      <w:r w:rsidRPr="004F21B7">
        <w:rPr>
          <w:rFonts w:ascii="Courier New" w:hAnsi="Courier New" w:cs="Courier New"/>
          <w:i/>
          <w:iCs/>
          <w:sz w:val="22"/>
          <w:szCs w:val="22"/>
        </w:rPr>
        <w:t>, 992 S.W.2d 444, 1999 Tex. LEXIS 42, 42 Tex. Sup.</w:t>
      </w:r>
      <w:proofErr w:type="gramEnd"/>
      <w:r w:rsidRPr="004F21B7">
        <w:rPr>
          <w:rFonts w:ascii="Courier New" w:hAnsi="Courier New" w:cs="Courier New"/>
          <w:i/>
          <w:iCs/>
          <w:sz w:val="22"/>
          <w:szCs w:val="22"/>
        </w:rPr>
        <w:t xml:space="preserve"> </w:t>
      </w:r>
      <w:proofErr w:type="gramStart"/>
      <w:r w:rsidRPr="004F21B7">
        <w:rPr>
          <w:rFonts w:ascii="Courier New" w:hAnsi="Courier New" w:cs="Courier New"/>
          <w:i/>
          <w:iCs/>
          <w:sz w:val="22"/>
          <w:szCs w:val="22"/>
        </w:rPr>
        <w:t>Ct. J. 574 (Tex. 1999).</w:t>
      </w:r>
      <w:proofErr w:type="gramEnd"/>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lastRenderedPageBreak/>
        <w:t xml:space="preserve"> </w:t>
      </w:r>
    </w:p>
    <w:p w:rsidR="004F21B7" w:rsidRPr="004F21B7" w:rsidRDefault="004F21B7" w:rsidP="00F622FE">
      <w:pPr>
        <w:ind w:left="720"/>
      </w:pPr>
    </w:p>
    <w:p w:rsidR="004F21B7" w:rsidRPr="004F21B7" w:rsidRDefault="004F21B7" w:rsidP="00F622FE">
      <w:pPr>
        <w:ind w:left="720"/>
      </w:pPr>
    </w:p>
    <w:p w:rsidR="004F21B7" w:rsidRPr="004F21B7" w:rsidRDefault="004F21B7" w:rsidP="00F622FE">
      <w:pPr>
        <w:ind w:left="720"/>
      </w:pPr>
    </w:p>
    <w:p w:rsidR="004F21B7" w:rsidRPr="004F21B7" w:rsidRDefault="004F21B7" w:rsidP="00F622FE">
      <w:pPr>
        <w:ind w:left="720"/>
      </w:pPr>
    </w:p>
    <w:p w:rsidR="004F21B7" w:rsidRPr="004F21B7" w:rsidRDefault="004F21B7" w:rsidP="00F622FE">
      <w:pPr>
        <w:ind w:left="720"/>
      </w:pPr>
    </w:p>
    <w:p w:rsidR="004F21B7" w:rsidRPr="004F21B7" w:rsidRDefault="004F21B7" w:rsidP="00F622FE">
      <w:pPr>
        <w:ind w:left="720"/>
      </w:pPr>
      <w:r w:rsidRPr="004F21B7">
        <w:t>Contempt</w:t>
      </w:r>
    </w:p>
    <w:p w:rsidR="004F21B7" w:rsidRPr="004F21B7" w:rsidRDefault="004F21B7" w:rsidP="00F622FE">
      <w:pPr>
        <w:ind w:left="720"/>
      </w:pPr>
    </w:p>
    <w:p w:rsidR="004F21B7" w:rsidRP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44. </w:t>
      </w:r>
      <w:r w:rsidRPr="004F21B7">
        <w:rPr>
          <w:rFonts w:ascii="Courier New" w:hAnsi="Courier New" w:cs="Courier New"/>
          <w:i/>
          <w:iCs/>
          <w:sz w:val="22"/>
          <w:szCs w:val="22"/>
        </w:rPr>
        <w:t xml:space="preserve">Tex. R. Civ. P. </w:t>
      </w:r>
      <w:proofErr w:type="gramStart"/>
      <w:r w:rsidRPr="004F21B7">
        <w:rPr>
          <w:rFonts w:ascii="Courier New" w:hAnsi="Courier New" w:cs="Courier New"/>
          <w:i/>
          <w:iCs/>
          <w:sz w:val="22"/>
          <w:szCs w:val="22"/>
        </w:rPr>
        <w:t>18a(</w:t>
      </w:r>
      <w:proofErr w:type="gramEnd"/>
      <w:r w:rsidRPr="004F21B7">
        <w:rPr>
          <w:rFonts w:ascii="Courier New" w:hAnsi="Courier New" w:cs="Courier New"/>
          <w:i/>
          <w:iCs/>
          <w:sz w:val="22"/>
          <w:szCs w:val="22"/>
        </w:rPr>
        <w:t>d)</w:t>
      </w:r>
      <w:r w:rsidRPr="004F21B7">
        <w:rPr>
          <w:rFonts w:ascii="Courier New" w:hAnsi="Courier New" w:cs="Courier New"/>
          <w:sz w:val="22"/>
          <w:szCs w:val="22"/>
        </w:rPr>
        <w:t xml:space="preserve"> does not preclude a trial court from exercising its inherent authority to deal with contempt while a recusal motion is pending; hence, the trial court did not err when it ordered an individual to appear to show cause why he should not be held in contempt for improper comm</w:t>
      </w:r>
      <w:r w:rsidRPr="004F21B7">
        <w:rPr>
          <w:rFonts w:ascii="Courier New" w:hAnsi="Courier New" w:cs="Courier New"/>
          <w:sz w:val="22"/>
          <w:szCs w:val="22"/>
        </w:rPr>
        <w:t>u</w:t>
      </w:r>
      <w:r w:rsidRPr="004F21B7">
        <w:rPr>
          <w:rFonts w:ascii="Courier New" w:hAnsi="Courier New" w:cs="Courier New"/>
          <w:sz w:val="22"/>
          <w:szCs w:val="22"/>
        </w:rPr>
        <w:t xml:space="preserve">nications. </w:t>
      </w:r>
      <w:proofErr w:type="gramStart"/>
      <w:r w:rsidRPr="004F21B7">
        <w:rPr>
          <w:rFonts w:ascii="Courier New" w:hAnsi="Courier New" w:cs="Courier New"/>
          <w:i/>
          <w:iCs/>
          <w:sz w:val="22"/>
          <w:szCs w:val="22"/>
        </w:rPr>
        <w:t>In re Easton, 203 S.W.3d 438, 2006 Tex. App. LEXIS 7095 (Tex. App. Houston 14th Dist. 2006).</w:t>
      </w:r>
      <w:proofErr w:type="gramEnd"/>
    </w:p>
    <w:p w:rsidR="004F21B7" w:rsidRPr="004F21B7" w:rsidRDefault="004F21B7" w:rsidP="00F622FE">
      <w:pPr>
        <w:ind w:left="720"/>
      </w:pPr>
    </w:p>
    <w:p w:rsidR="004F21B7" w:rsidRPr="004F21B7" w:rsidRDefault="004F21B7" w:rsidP="004F21B7">
      <w:pPr>
        <w:widowControl/>
        <w:rPr>
          <w:rFonts w:ascii="Courier New" w:hAnsi="Courier New" w:cs="Courier New"/>
          <w:sz w:val="22"/>
          <w:szCs w:val="22"/>
        </w:rPr>
      </w:pPr>
    </w:p>
    <w:p w:rsidR="004F21B7" w:rsidRDefault="004F21B7" w:rsidP="004F21B7">
      <w:pPr>
        <w:widowControl/>
        <w:rPr>
          <w:rFonts w:ascii="Courier New" w:hAnsi="Courier New" w:cs="Courier New"/>
          <w:sz w:val="22"/>
          <w:szCs w:val="22"/>
        </w:rPr>
      </w:pPr>
      <w:r w:rsidRPr="004F21B7">
        <w:rPr>
          <w:rFonts w:ascii="Courier New" w:hAnsi="Courier New" w:cs="Courier New"/>
          <w:sz w:val="22"/>
          <w:szCs w:val="22"/>
        </w:rPr>
        <w:t xml:space="preserve">141. </w:t>
      </w:r>
      <w:r w:rsidRPr="004F21B7">
        <w:rPr>
          <w:rFonts w:ascii="Courier New" w:hAnsi="Courier New" w:cs="Courier New"/>
          <w:i/>
          <w:iCs/>
          <w:sz w:val="22"/>
          <w:szCs w:val="22"/>
        </w:rPr>
        <w:t xml:space="preserve">Tex. R. Civ. P. </w:t>
      </w:r>
      <w:proofErr w:type="gramStart"/>
      <w:r w:rsidRPr="004F21B7">
        <w:rPr>
          <w:rFonts w:ascii="Courier New" w:hAnsi="Courier New" w:cs="Courier New"/>
          <w:i/>
          <w:iCs/>
          <w:sz w:val="22"/>
          <w:szCs w:val="22"/>
        </w:rPr>
        <w:t>18a(</w:t>
      </w:r>
      <w:proofErr w:type="gramEnd"/>
      <w:r w:rsidRPr="004F21B7">
        <w:rPr>
          <w:rFonts w:ascii="Courier New" w:hAnsi="Courier New" w:cs="Courier New"/>
          <w:i/>
          <w:iCs/>
          <w:sz w:val="22"/>
          <w:szCs w:val="22"/>
        </w:rPr>
        <w:t>d)</w:t>
      </w:r>
      <w:r w:rsidRPr="004F21B7">
        <w:rPr>
          <w:rFonts w:ascii="Courier New" w:hAnsi="Courier New" w:cs="Courier New"/>
          <w:sz w:val="22"/>
          <w:szCs w:val="22"/>
        </w:rPr>
        <w:t xml:space="preserve"> does not preclude a trial court from exercising its inherent authority to deal with contempt while a recusal motion is pending; hence, the trial court did not err when it ordered an individual to appear to show cause why he should not be held in contempt for improper comm</w:t>
      </w:r>
      <w:r w:rsidRPr="004F21B7">
        <w:rPr>
          <w:rFonts w:ascii="Courier New" w:hAnsi="Courier New" w:cs="Courier New"/>
          <w:sz w:val="22"/>
          <w:szCs w:val="22"/>
        </w:rPr>
        <w:t>u</w:t>
      </w:r>
      <w:r w:rsidRPr="004F21B7">
        <w:rPr>
          <w:rFonts w:ascii="Courier New" w:hAnsi="Courier New" w:cs="Courier New"/>
          <w:sz w:val="22"/>
          <w:szCs w:val="22"/>
        </w:rPr>
        <w:t xml:space="preserve">nications. </w:t>
      </w:r>
      <w:proofErr w:type="gramStart"/>
      <w:r w:rsidRPr="004F21B7">
        <w:rPr>
          <w:rFonts w:ascii="Courier New" w:hAnsi="Courier New" w:cs="Courier New"/>
          <w:i/>
          <w:iCs/>
          <w:sz w:val="22"/>
          <w:szCs w:val="22"/>
        </w:rPr>
        <w:t>In re Easton, 203 S.W.3d 438, 2006 Tex. App. LEXIS 7095 (Tex. App. Houston 14th Dist. 2006).</w:t>
      </w:r>
      <w:proofErr w:type="gramEnd"/>
    </w:p>
    <w:p w:rsidR="004F21B7" w:rsidRDefault="004F21B7" w:rsidP="00F622FE">
      <w:pPr>
        <w:ind w:left="720"/>
      </w:pPr>
    </w:p>
    <w:sectPr w:rsidR="004F21B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7086" w:rsidRDefault="000E7086" w:rsidP="00726956">
      <w:r>
        <w:separator/>
      </w:r>
    </w:p>
  </w:endnote>
  <w:endnote w:type="continuationSeparator" w:id="0">
    <w:p w:rsidR="000E7086" w:rsidRDefault="000E7086" w:rsidP="00726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ourier New">
    <w:altName w:val="Courier"/>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7086" w:rsidRDefault="000E7086" w:rsidP="00726956">
      <w:r>
        <w:separator/>
      </w:r>
    </w:p>
  </w:footnote>
  <w:footnote w:type="continuationSeparator" w:id="0">
    <w:p w:rsidR="000E7086" w:rsidRDefault="000E7086" w:rsidP="007269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44B85"/>
    <w:multiLevelType w:val="hybridMultilevel"/>
    <w:tmpl w:val="E766DFEE"/>
    <w:lvl w:ilvl="0" w:tplc="A3F80C4C">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954622"/>
    <w:multiLevelType w:val="hybridMultilevel"/>
    <w:tmpl w:val="A950ED30"/>
    <w:lvl w:ilvl="0" w:tplc="80D26B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550E1D"/>
    <w:multiLevelType w:val="hybridMultilevel"/>
    <w:tmpl w:val="44562D38"/>
    <w:lvl w:ilvl="0" w:tplc="2AE62A00">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2FE"/>
    <w:rsid w:val="000E7086"/>
    <w:rsid w:val="004F21B7"/>
    <w:rsid w:val="006E6C12"/>
    <w:rsid w:val="00726956"/>
    <w:rsid w:val="00A929D0"/>
    <w:rsid w:val="00C575AD"/>
    <w:rsid w:val="00F62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1B7"/>
    <w:pPr>
      <w:widowControl w:val="0"/>
      <w:autoSpaceDE w:val="0"/>
      <w:autoSpaceDN w:val="0"/>
      <w:adjustRightInd w:val="0"/>
      <w:spacing w:after="0" w:line="240" w:lineRule="auto"/>
    </w:pPr>
    <w:rPr>
      <w:rFonts w:ascii="Courier" w:eastAsiaTheme="minorEastAsia" w:hAnsi="Courier"/>
      <w:sz w:val="20"/>
      <w:szCs w:val="20"/>
    </w:rPr>
  </w:style>
  <w:style w:type="paragraph" w:styleId="Heading1">
    <w:name w:val="heading 1"/>
    <w:basedOn w:val="Normal"/>
    <w:next w:val="Normal"/>
    <w:link w:val="Heading1Char"/>
    <w:autoRedefine/>
    <w:uiPriority w:val="9"/>
    <w:qFormat/>
    <w:rsid w:val="00C575AD"/>
    <w:pPr>
      <w:keepNext/>
      <w:widowControl/>
      <w:overflowPunct w:val="0"/>
      <w:spacing w:before="120" w:after="120"/>
      <w:ind w:left="720" w:hanging="360"/>
      <w:jc w:val="center"/>
      <w:textAlignment w:val="baseline"/>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C575AD"/>
    <w:pPr>
      <w:overflowPunct w:val="0"/>
      <w:autoSpaceDE w:val="0"/>
      <w:autoSpaceDN w:val="0"/>
      <w:adjustRightInd w:val="0"/>
      <w:spacing w:after="0" w:line="240" w:lineRule="auto"/>
      <w:textAlignment w:val="baseline"/>
    </w:pPr>
    <w:rPr>
      <w:rFonts w:ascii="Times New Roman" w:hAnsi="Times New Roman" w:cs="Times New Roman"/>
      <w:sz w:val="20"/>
      <w:szCs w:val="20"/>
    </w:rPr>
  </w:style>
  <w:style w:type="character" w:customStyle="1" w:styleId="Heading1Char">
    <w:name w:val="Heading 1 Char"/>
    <w:basedOn w:val="DefaultParagraphFont"/>
    <w:link w:val="Heading1"/>
    <w:uiPriority w:val="9"/>
    <w:rsid w:val="00C575AD"/>
    <w:rPr>
      <w:rFonts w:asciiTheme="majorHAnsi" w:eastAsiaTheme="majorEastAsia" w:hAnsiTheme="majorHAnsi" w:cstheme="majorBidi"/>
      <w:b/>
      <w:bCs/>
      <w:kern w:val="32"/>
      <w:sz w:val="32"/>
      <w:szCs w:val="32"/>
    </w:rPr>
  </w:style>
  <w:style w:type="paragraph" w:styleId="Header">
    <w:name w:val="header"/>
    <w:basedOn w:val="Normal"/>
    <w:link w:val="HeaderChar"/>
    <w:uiPriority w:val="99"/>
    <w:unhideWhenUsed/>
    <w:rsid w:val="00726956"/>
    <w:pPr>
      <w:tabs>
        <w:tab w:val="center" w:pos="4680"/>
        <w:tab w:val="right" w:pos="9360"/>
      </w:tabs>
    </w:pPr>
  </w:style>
  <w:style w:type="character" w:customStyle="1" w:styleId="HeaderChar">
    <w:name w:val="Header Char"/>
    <w:basedOn w:val="DefaultParagraphFont"/>
    <w:link w:val="Header"/>
    <w:uiPriority w:val="99"/>
    <w:rsid w:val="00726956"/>
    <w:rPr>
      <w:rFonts w:ascii="Courier" w:eastAsiaTheme="minorEastAsia" w:hAnsi="Courier"/>
      <w:sz w:val="20"/>
      <w:szCs w:val="20"/>
    </w:rPr>
  </w:style>
  <w:style w:type="paragraph" w:styleId="Footer">
    <w:name w:val="footer"/>
    <w:basedOn w:val="Normal"/>
    <w:link w:val="FooterChar"/>
    <w:uiPriority w:val="99"/>
    <w:unhideWhenUsed/>
    <w:rsid w:val="00726956"/>
    <w:pPr>
      <w:tabs>
        <w:tab w:val="center" w:pos="4680"/>
        <w:tab w:val="right" w:pos="9360"/>
      </w:tabs>
    </w:pPr>
  </w:style>
  <w:style w:type="character" w:customStyle="1" w:styleId="FooterChar">
    <w:name w:val="Footer Char"/>
    <w:basedOn w:val="DefaultParagraphFont"/>
    <w:link w:val="Footer"/>
    <w:uiPriority w:val="99"/>
    <w:rsid w:val="00726956"/>
    <w:rPr>
      <w:rFonts w:ascii="Courier" w:eastAsiaTheme="minorEastAsia" w:hAnsi="Courie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21B7"/>
    <w:pPr>
      <w:widowControl w:val="0"/>
      <w:autoSpaceDE w:val="0"/>
      <w:autoSpaceDN w:val="0"/>
      <w:adjustRightInd w:val="0"/>
      <w:spacing w:after="0" w:line="240" w:lineRule="auto"/>
    </w:pPr>
    <w:rPr>
      <w:rFonts w:ascii="Courier" w:eastAsiaTheme="minorEastAsia" w:hAnsi="Courier"/>
      <w:sz w:val="20"/>
      <w:szCs w:val="20"/>
    </w:rPr>
  </w:style>
  <w:style w:type="paragraph" w:styleId="Heading1">
    <w:name w:val="heading 1"/>
    <w:basedOn w:val="Normal"/>
    <w:next w:val="Normal"/>
    <w:link w:val="Heading1Char"/>
    <w:autoRedefine/>
    <w:uiPriority w:val="9"/>
    <w:qFormat/>
    <w:rsid w:val="00C575AD"/>
    <w:pPr>
      <w:keepNext/>
      <w:widowControl/>
      <w:overflowPunct w:val="0"/>
      <w:spacing w:before="120" w:after="120"/>
      <w:ind w:left="720" w:hanging="360"/>
      <w:jc w:val="center"/>
      <w:textAlignment w:val="baseline"/>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C575AD"/>
    <w:pPr>
      <w:overflowPunct w:val="0"/>
      <w:autoSpaceDE w:val="0"/>
      <w:autoSpaceDN w:val="0"/>
      <w:adjustRightInd w:val="0"/>
      <w:spacing w:after="0" w:line="240" w:lineRule="auto"/>
      <w:textAlignment w:val="baseline"/>
    </w:pPr>
    <w:rPr>
      <w:rFonts w:ascii="Times New Roman" w:hAnsi="Times New Roman" w:cs="Times New Roman"/>
      <w:sz w:val="20"/>
      <w:szCs w:val="20"/>
    </w:rPr>
  </w:style>
  <w:style w:type="character" w:customStyle="1" w:styleId="Heading1Char">
    <w:name w:val="Heading 1 Char"/>
    <w:basedOn w:val="DefaultParagraphFont"/>
    <w:link w:val="Heading1"/>
    <w:uiPriority w:val="9"/>
    <w:rsid w:val="00C575AD"/>
    <w:rPr>
      <w:rFonts w:asciiTheme="majorHAnsi" w:eastAsiaTheme="majorEastAsia" w:hAnsiTheme="majorHAnsi" w:cstheme="majorBidi"/>
      <w:b/>
      <w:bCs/>
      <w:kern w:val="32"/>
      <w:sz w:val="32"/>
      <w:szCs w:val="32"/>
    </w:rPr>
  </w:style>
  <w:style w:type="paragraph" w:styleId="Header">
    <w:name w:val="header"/>
    <w:basedOn w:val="Normal"/>
    <w:link w:val="HeaderChar"/>
    <w:uiPriority w:val="99"/>
    <w:unhideWhenUsed/>
    <w:rsid w:val="00726956"/>
    <w:pPr>
      <w:tabs>
        <w:tab w:val="center" w:pos="4680"/>
        <w:tab w:val="right" w:pos="9360"/>
      </w:tabs>
    </w:pPr>
  </w:style>
  <w:style w:type="character" w:customStyle="1" w:styleId="HeaderChar">
    <w:name w:val="Header Char"/>
    <w:basedOn w:val="DefaultParagraphFont"/>
    <w:link w:val="Header"/>
    <w:uiPriority w:val="99"/>
    <w:rsid w:val="00726956"/>
    <w:rPr>
      <w:rFonts w:ascii="Courier" w:eastAsiaTheme="minorEastAsia" w:hAnsi="Courier"/>
      <w:sz w:val="20"/>
      <w:szCs w:val="20"/>
    </w:rPr>
  </w:style>
  <w:style w:type="paragraph" w:styleId="Footer">
    <w:name w:val="footer"/>
    <w:basedOn w:val="Normal"/>
    <w:link w:val="FooterChar"/>
    <w:uiPriority w:val="99"/>
    <w:unhideWhenUsed/>
    <w:rsid w:val="00726956"/>
    <w:pPr>
      <w:tabs>
        <w:tab w:val="center" w:pos="4680"/>
        <w:tab w:val="right" w:pos="9360"/>
      </w:tabs>
    </w:pPr>
  </w:style>
  <w:style w:type="character" w:customStyle="1" w:styleId="FooterChar">
    <w:name w:val="Footer Char"/>
    <w:basedOn w:val="DefaultParagraphFont"/>
    <w:link w:val="Footer"/>
    <w:uiPriority w:val="99"/>
    <w:rsid w:val="00726956"/>
    <w:rPr>
      <w:rFonts w:ascii="Courier" w:eastAsiaTheme="minorEastAsia" w:hAnsi="Courie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Recuse</Template>
  <TotalTime>0</TotalTime>
  <Pages>3</Pages>
  <Words>932</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Randys Puter</dc:creator>
  <cp:lastModifiedBy>Randys Puter</cp:lastModifiedBy>
  <cp:revision>2</cp:revision>
  <dcterms:created xsi:type="dcterms:W3CDTF">2011-11-02T23:34:00Z</dcterms:created>
  <dcterms:modified xsi:type="dcterms:W3CDTF">2011-11-02T23:34:00Z</dcterms:modified>
</cp:coreProperties>
</file>